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November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Amendment No. 1</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to</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6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480" w:right="3560" w:hanging="4364"/>
        <w:spacing w:after="0" w:line="352" w:lineRule="auto"/>
        <w:tabs>
          <w:tab w:leader="none" w:pos="54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8" w:lineRule="exact"/>
        <w:rPr>
          <w:rFonts w:ascii="MS PGothic" w:cs="MS PGothic" w:eastAsia="MS PGothic" w:hAnsi="MS PGothic"/>
          <w:sz w:val="14"/>
          <w:szCs w:val="1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3836035</wp:posOffset>
            </wp:positionH>
            <wp:positionV relativeFrom="paragraph">
              <wp:posOffset>-292735</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62"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96"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4312920</wp:posOffset>
            </wp:positionH>
            <wp:positionV relativeFrom="paragraph">
              <wp:posOffset>-1270</wp:posOffset>
            </wp:positionV>
            <wp:extent cx="456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PURETECH HEALTH PLC</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England and Wales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20 Farringdon Street, 8</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ind w:left="4460"/>
        <w:spacing w:after="0" w:line="226" w:lineRule="auto"/>
        <w:rPr>
          <w:sz w:val="20"/>
          <w:szCs w:val="20"/>
          <w:color w:val="auto"/>
        </w:rPr>
      </w:pPr>
      <w:r>
        <w:rPr>
          <w:rFonts w:ascii="Arial" w:cs="Arial" w:eastAsia="Arial" w:hAnsi="Arial"/>
          <w:sz w:val="14"/>
          <w:szCs w:val="14"/>
          <w:b w:val="1"/>
          <w:bCs w:val="1"/>
          <w:color w:val="auto"/>
        </w:rPr>
        <w:t>London, EC4A 4AB, United Kingdom</w:t>
      </w: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Daphne Zohar</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6 Tide Street, Suite 400</w:t>
      </w:r>
    </w:p>
    <w:p>
      <w:pPr>
        <w:jc w:val="center"/>
        <w:ind w:right="-99"/>
        <w:spacing w:after="0" w:line="222" w:lineRule="auto"/>
        <w:rPr>
          <w:sz w:val="20"/>
          <w:szCs w:val="20"/>
          <w:color w:val="auto"/>
        </w:rPr>
      </w:pPr>
      <w:r>
        <w:rPr>
          <w:rFonts w:ascii="Arial" w:cs="Arial" w:eastAsia="Arial" w:hAnsi="Arial"/>
          <w:sz w:val="14"/>
          <w:szCs w:val="14"/>
          <w:b w:val="1"/>
          <w:bCs w:val="1"/>
          <w:color w:val="auto"/>
        </w:rPr>
        <w:t>Boston, Massachusetts 02210</w:t>
      </w:r>
    </w:p>
    <w:p>
      <w:pPr>
        <w:jc w:val="center"/>
        <w:ind w:right="-99"/>
        <w:spacing w:after="0" w:line="221" w:lineRule="auto"/>
        <w:rPr>
          <w:sz w:val="20"/>
          <w:szCs w:val="20"/>
          <w:color w:val="auto"/>
        </w:rPr>
      </w:pPr>
      <w:r>
        <w:rPr>
          <w:rFonts w:ascii="Arial" w:cs="Arial" w:eastAsia="Arial" w:hAnsi="Arial"/>
          <w:sz w:val="14"/>
          <w:szCs w:val="14"/>
          <w:b w:val="1"/>
          <w:bCs w:val="1"/>
          <w:color w:val="auto"/>
        </w:rPr>
        <w:t>Tel: (617) 482-2333</w:t>
      </w:r>
    </w:p>
    <w:p>
      <w:pPr>
        <w:jc w:val="center"/>
        <w:ind w:right="-9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5660" w:type="dxa"/>
            <w:vAlign w:val="bottom"/>
            <w:gridSpan w:val="2"/>
            <w:vMerge w:val="continue"/>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19"/>
        </w:trPr>
        <w:tc>
          <w:tcPr>
            <w:tcW w:w="5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American Depositary Shares, each representing 10 ordinary shares, par value £0.01 per</w:t>
            </w:r>
          </w:p>
        </w:tc>
        <w:tc>
          <w:tcPr>
            <w:tcW w:w="100" w:type="dxa"/>
            <w:vAlign w:val="bottom"/>
          </w:tcPr>
          <w:p>
            <w:pPr>
              <w:spacing w:after="0"/>
              <w:rPr>
                <w:sz w:val="10"/>
                <w:szCs w:val="10"/>
                <w:color w:val="auto"/>
              </w:rPr>
            </w:pPr>
          </w:p>
        </w:tc>
        <w:tc>
          <w:tcPr>
            <w:tcW w:w="5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The Nasdaq Global Market</w:t>
            </w:r>
          </w:p>
        </w:tc>
        <w:tc>
          <w:tcPr>
            <w:tcW w:w="0" w:type="dxa"/>
            <w:vAlign w:val="bottom"/>
          </w:tcPr>
          <w:p>
            <w:pPr>
              <w:spacing w:after="0"/>
              <w:rPr>
                <w:sz w:val="1"/>
                <w:szCs w:val="1"/>
                <w:color w:val="auto"/>
              </w:rPr>
            </w:pPr>
          </w:p>
        </w:tc>
      </w:tr>
      <w:tr>
        <w:trPr>
          <w:trHeight w:val="148"/>
        </w:trPr>
        <w:tc>
          <w:tcPr>
            <w:tcW w:w="5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w:t>
            </w:r>
          </w:p>
        </w:tc>
        <w:tc>
          <w:tcPr>
            <w:tcW w:w="5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Ordinary shares, par value £0.01 per share*</w:t>
            </w: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340" w:hanging="224"/>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Listed not for trading, but only in connection with the registration of the American Depositary Shares, pursuant to the requirements of the Securities &amp; Exchange Commission.</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ind w:left="120" w:right="1600"/>
        <w:spacing w:after="0" w:line="202" w:lineRule="exact"/>
        <w:rPr>
          <w:sz w:val="20"/>
          <w:szCs w:val="20"/>
          <w:color w:val="auto"/>
        </w:rPr>
      </w:pPr>
      <w:r>
        <w:rPr>
          <w:rFonts w:ascii="Arial" w:cs="Arial" w:eastAsia="Arial" w:hAnsi="Arial"/>
          <w:sz w:val="14"/>
          <w:szCs w:val="14"/>
          <w:color w:val="auto"/>
        </w:rPr>
        <w:t xml:space="preserve">Indicate the number of outstanding shares of each of the issuer’s classes of capital or common stock as of the close of the period covered by the annual report: N/A. 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660"/>
        <w:spacing w:after="0" w:line="174"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3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5" w:lineRule="exact"/>
        <w:rPr>
          <w:sz w:val="24"/>
          <w:szCs w:val="24"/>
          <w:color w:val="auto"/>
        </w:rPr>
      </w:pPr>
    </w:p>
    <w:p>
      <w:pPr>
        <w:ind w:left="120"/>
        <w:spacing w:after="0" w:line="161" w:lineRule="exact"/>
        <w:tabs>
          <w:tab w:leader="none" w:pos="1780" w:val="left"/>
          <w:tab w:leader="none" w:pos="3340" w:val="left"/>
          <w:tab w:leader="none" w:pos="4560" w:val="left"/>
          <w:tab w:leader="none" w:pos="5960" w:val="left"/>
          <w:tab w:leader="none" w:pos="7500" w:val="left"/>
          <w:tab w:leader="none" w:pos="892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6"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right="160" w:hanging="224"/>
        <w:spacing w:after="0" w:line="25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39"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5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9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780" w:type="dxa"/>
            <w:vAlign w:val="bottom"/>
          </w:tcPr>
          <w:p>
            <w:pPr>
              <w:ind w:left="1040"/>
              <w:spacing w:after="0"/>
              <w:rPr>
                <w:sz w:val="20"/>
                <w:szCs w:val="20"/>
                <w:color w:val="auto"/>
              </w:rPr>
            </w:pPr>
            <w:r>
              <w:rPr>
                <w:rFonts w:ascii="Arial" w:cs="Arial" w:eastAsia="Arial" w:hAnsi="Arial"/>
                <w:sz w:val="14"/>
                <w:szCs w:val="14"/>
                <w:color w:val="auto"/>
              </w:rPr>
              <w:t>International Financial Reporting Standards as issued</w:t>
            </w:r>
          </w:p>
        </w:tc>
        <w:tc>
          <w:tcPr>
            <w:tcW w:w="232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480"/>
              <w:spacing w:after="0" w:line="161" w:lineRule="exact"/>
              <w:rPr>
                <w:sz w:val="20"/>
                <w:szCs w:val="20"/>
                <w:color w:val="auto"/>
              </w:rPr>
            </w:pPr>
            <w:r>
              <w:rPr>
                <w:rFonts w:ascii="Arial" w:cs="Arial" w:eastAsia="Arial" w:hAnsi="Arial"/>
                <w:sz w:val="14"/>
                <w:szCs w:val="14"/>
                <w:color w:val="auto"/>
                <w:w w:val="98"/>
              </w:rPr>
              <w:t xml:space="preserve">Other </w:t>
            </w:r>
            <w:r>
              <w:rPr>
                <w:rFonts w:ascii="MS PGothic" w:cs="MS PGothic" w:eastAsia="MS PGothic" w:hAnsi="MS PGothic"/>
                <w:sz w:val="14"/>
                <w:szCs w:val="14"/>
                <w:color w:val="auto"/>
                <w:w w:val="98"/>
              </w:rPr>
              <w:t>☐</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4780" w:type="dxa"/>
            <w:vAlign w:val="bottom"/>
          </w:tcPr>
          <w:p>
            <w:pPr>
              <w:ind w:left="1040"/>
              <w:spacing w:after="0"/>
              <w:rPr>
                <w:sz w:val="20"/>
                <w:szCs w:val="20"/>
                <w:color w:val="auto"/>
              </w:rPr>
            </w:pPr>
            <w:r>
              <w:rPr>
                <w:rFonts w:ascii="Arial" w:cs="Arial" w:eastAsia="Arial" w:hAnsi="Arial"/>
                <w:sz w:val="14"/>
                <w:szCs w:val="14"/>
                <w:color w:val="auto"/>
              </w:rPr>
              <w:t>by the International Accounting Standards Board</w:t>
            </w:r>
          </w:p>
        </w:tc>
        <w:tc>
          <w:tcPr>
            <w:tcW w:w="232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000" w:type="dxa"/>
            <w:vAlign w:val="bottom"/>
            <w:gridSpan w:val="3"/>
          </w:tcPr>
          <w:p>
            <w:pPr>
              <w:spacing w:after="0"/>
              <w:rPr>
                <w:sz w:val="20"/>
                <w:szCs w:val="20"/>
                <w:color w:val="auto"/>
              </w:rPr>
            </w:pPr>
            <w:r>
              <w:rPr>
                <w:rFonts w:ascii="Arial" w:cs="Arial" w:eastAsia="Arial" w:hAnsi="Arial"/>
                <w:sz w:val="14"/>
                <w:szCs w:val="14"/>
                <w:color w:val="auto"/>
                <w:w w:val="93"/>
              </w:rPr>
              <w:t>If “Other” has been checked in response to the previous question, indicate by check mark which financial statement item the registrant has elected to follow.</w:t>
            </w:r>
          </w:p>
        </w:tc>
        <w:tc>
          <w:tcPr>
            <w:tcW w:w="20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6"/>
        </w:trPr>
        <w:tc>
          <w:tcPr>
            <w:tcW w:w="9000" w:type="dxa"/>
            <w:vAlign w:val="bottom"/>
            <w:gridSpan w:val="3"/>
          </w:tcPr>
          <w:p>
            <w:pPr>
              <w:spacing w:after="0" w:line="161" w:lineRule="exact"/>
              <w:rPr>
                <w:sz w:val="20"/>
                <w:szCs w:val="20"/>
                <w:color w:val="auto"/>
              </w:rPr>
            </w:pPr>
            <w:r>
              <w:rPr>
                <w:rFonts w:ascii="Arial" w:cs="Arial" w:eastAsia="Arial" w:hAnsi="Arial"/>
                <w:sz w:val="14"/>
                <w:szCs w:val="14"/>
                <w:color w:val="auto"/>
                <w:w w:val="96"/>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96"/>
              </w:rPr>
              <w:t>☐</w:t>
            </w:r>
            <w:r>
              <w:rPr>
                <w:rFonts w:ascii="Arial" w:cs="Arial" w:eastAsia="Arial" w:hAnsi="Arial"/>
                <w:sz w:val="14"/>
                <w:szCs w:val="14"/>
                <w:color w:val="auto"/>
                <w:w w:val="96"/>
              </w:rPr>
              <w:t xml:space="preserve">  No</w:t>
            </w:r>
          </w:p>
        </w:tc>
        <w:tc>
          <w:tcPr>
            <w:tcW w:w="20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77"/>
        </w:trPr>
        <w:tc>
          <w:tcPr>
            <w:tcW w:w="190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90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30" w:right="439" w:bottom="82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9640" w:type="dxa"/>
            <w:vAlign w:val="bottom"/>
            <w:vMerge w:val="restart"/>
          </w:tcPr>
          <w:p>
            <w:pPr>
              <w:jc w:val="center"/>
              <w:spacing w:after="0"/>
              <w:rPr>
                <w:rFonts w:ascii="Arial" w:cs="Arial" w:eastAsia="Arial" w:hAnsi="Arial"/>
                <w:sz w:val="18"/>
                <w:szCs w:val="18"/>
                <w:b w:val="1"/>
                <w:bCs w:val="1"/>
                <w:u w:val="single" w:color="auto"/>
                <w:color w:val="0000EE"/>
                <w:w w:val="98"/>
              </w:rPr>
            </w:pPr>
            <w:hyperlink w:anchor="page6">
              <w:r>
                <w:rPr>
                  <w:rFonts w:ascii="Arial" w:cs="Arial" w:eastAsia="Arial" w:hAnsi="Arial"/>
                  <w:sz w:val="18"/>
                  <w:szCs w:val="18"/>
                  <w:b w:val="1"/>
                  <w:bCs w:val="1"/>
                  <w:u w:val="single" w:color="auto"/>
                  <w:color w:val="0000EE"/>
                  <w:w w:val="98"/>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964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3"/>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IDENTITY OF DIRECTORS, SENIOR MANAGEMENT AND ADVISERS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OFFER STATISTICS AND EXPECTED TIMETABLE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KEY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INFORMATION ON THE COMPANY</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4A.</w:t>
            </w:r>
          </w:p>
        </w:tc>
        <w:tc>
          <w:tcPr>
            <w:tcW w:w="9640" w:type="dxa"/>
            <w:vAlign w:val="bottom"/>
          </w:tcPr>
          <w:p>
            <w:pPr>
              <w:ind w:left="18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UNRESOLVED STAFF COMMENTS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tcPr>
          <w:p>
            <w:pPr>
              <w:ind w:left="18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OPERATING AND FINANCIAL REVIEW AND PROSPECTS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18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DIRECTORS, SENIOR MANAGEMENT AND EMPLOYEES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9640" w:type="dxa"/>
            <w:vAlign w:val="bottom"/>
          </w:tcPr>
          <w:p>
            <w:pPr>
              <w:ind w:left="18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MAJOR SHAREHOLDERS AND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9640" w:type="dxa"/>
            <w:vAlign w:val="bottom"/>
          </w:tcPr>
          <w:p>
            <w:pPr>
              <w:ind w:left="18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FINANCIAL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640" w:type="dxa"/>
            <w:vAlign w:val="bottom"/>
          </w:tcPr>
          <w:p>
            <w:pPr>
              <w:ind w:left="18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THE OFFER AND LISTING</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9640" w:type="dxa"/>
            <w:vAlign w:val="bottom"/>
          </w:tcPr>
          <w:p>
            <w:pPr>
              <w:ind w:left="18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9640" w:type="dxa"/>
            <w:vAlign w:val="bottom"/>
          </w:tcPr>
          <w:p>
            <w:pPr>
              <w:ind w:left="180"/>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640" w:type="dxa"/>
            <w:vAlign w:val="bottom"/>
          </w:tcPr>
          <w:p>
            <w:pPr>
              <w:ind w:left="180"/>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DESCRIPTION OF SECURITIES OTHER THAN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260</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u w:val="single" w:color="auto"/>
                <w:color w:val="0000EE"/>
              </w:rPr>
            </w:pPr>
            <w:hyperlink w:anchor="page278">
              <w:r>
                <w:rPr>
                  <w:rFonts w:ascii="Arial" w:cs="Arial" w:eastAsia="Arial" w:hAnsi="Arial"/>
                  <w:sz w:val="18"/>
                  <w:szCs w:val="18"/>
                  <w:b w:val="1"/>
                  <w:bCs w:val="1"/>
                  <w:u w:val="single" w:color="auto"/>
                  <w:color w:val="0000EE"/>
                </w:rPr>
                <w:t>PART II</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DEFAULTS, DIVIDEND ARREARAGES AND DELINQUENCIES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MATERIAL MODIFICATIONS TO THE RIGHTS OF SECURITY HOLDERS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16A.</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AUDIT COMMITTEE FINANCIAL EXPERT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16B.</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CODE OF ETHICS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16C.</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16D.</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EXEMPTIONS FROM THE LISTING STANDARDS FOR AUDIT COMMITTEES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16E.</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PURCHASES OF EQUITY SECURITIES BY THE ISSUER AND AFFILIATED PURCHASERS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16F.</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CHANGE IN REGISTRANT’S CERTIFYING ACCOUNTANT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16G.</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16H.</w:t>
            </w:r>
          </w:p>
        </w:tc>
        <w:tc>
          <w:tcPr>
            <w:tcW w:w="9640" w:type="dxa"/>
            <w:vAlign w:val="bottom"/>
          </w:tcPr>
          <w:p>
            <w:pPr>
              <w:ind w:left="1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MINE SAFETY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9640" w:type="dxa"/>
            <w:vAlign w:val="bottom"/>
          </w:tcPr>
          <w:p>
            <w:pPr>
              <w:jc w:val="center"/>
              <w:spacing w:after="0"/>
              <w:rPr>
                <w:rFonts w:ascii="Arial" w:cs="Arial" w:eastAsia="Arial" w:hAnsi="Arial"/>
                <w:sz w:val="18"/>
                <w:szCs w:val="18"/>
                <w:b w:val="1"/>
                <w:bCs w:val="1"/>
                <w:u w:val="single" w:color="auto"/>
                <w:color w:val="0000EE"/>
              </w:rPr>
            </w:pPr>
            <w:hyperlink w:anchor="page279">
              <w:r>
                <w:rPr>
                  <w:rFonts w:ascii="Arial" w:cs="Arial" w:eastAsia="Arial" w:hAnsi="Arial"/>
                  <w:sz w:val="18"/>
                  <w:szCs w:val="18"/>
                  <w:b w:val="1"/>
                  <w:bCs w:val="1"/>
                  <w:u w:val="single" w:color="auto"/>
                  <w:color w:val="0000EE"/>
                </w:rPr>
                <w:t>PART III</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274</w:t>
            </w: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ITEM 17.</w:t>
            </w:r>
          </w:p>
        </w:tc>
        <w:tc>
          <w:tcPr>
            <w:tcW w:w="9640" w:type="dxa"/>
            <w:vAlign w:val="bottom"/>
          </w:tcPr>
          <w:p>
            <w:pPr>
              <w:ind w:left="18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18.</w:t>
            </w:r>
          </w:p>
        </w:tc>
        <w:tc>
          <w:tcPr>
            <w:tcW w:w="9640" w:type="dxa"/>
            <w:vAlign w:val="bottom"/>
          </w:tcPr>
          <w:p>
            <w:pPr>
              <w:ind w:left="18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274</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19.</w:t>
            </w:r>
          </w:p>
        </w:tc>
        <w:tc>
          <w:tcPr>
            <w:tcW w:w="9640" w:type="dxa"/>
            <w:vAlign w:val="bottom"/>
          </w:tcPr>
          <w:p>
            <w:pPr>
              <w:ind w:left="18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registration statement contains forward-looking statements that involve substantial risks and uncertainties. All statements contained in this registration statement,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“target,” “potential,” “would,” “could,” “should,” “continue” and similar expressions are intended to identify forward-looking statements, although not all forward-looking statements contain these identifying words. The forward-looking statements in this registration statement include, among other things, statements about:</w:t>
      </w:r>
    </w:p>
    <w:p>
      <w:pPr>
        <w:spacing w:after="0" w:line="83" w:lineRule="exact"/>
        <w:rPr>
          <w:sz w:val="20"/>
          <w:szCs w:val="20"/>
          <w:color w:val="auto"/>
        </w:rPr>
      </w:pPr>
    </w:p>
    <w:p>
      <w:pPr>
        <w:ind w:left="1080" w:right="6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value from our Founded Entities, which may be impacted if we reduce our ownership to a minority interest or otherwise cede control to other investors through contractual agreements or otherwise;</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cost and timing of our clinical development of our Wholly Owned Programs, including the progress of, and results from, our preclinical and clinical trials of LYT-100, LYT-200, LYT-210, LYT-300, our discovery programs (Glyph, Orasome and our meningeal lymphatics discovery research program) and other potential product candidates within our Wholly Owned Programs;</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Wholly Owned product candidates, and any related restrictions, limitations or warnings in the label of any of our Wholly Owned product candidates, if approved;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indications that our Wholly Owned product candidates or those of our Founded Entities are designed to target;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future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advantages of our Wholly Owned product candidates and those being developed by our Founded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collaborations and partnerships with third parties;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Wholly Owned product candidates and those being developed by our Founded Entities;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manufacture of our Wholly Owned product candidates and those being developed by our Founded Entities;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capital;</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on any of the foregoing or other aspects of our business operations, including but not limited to our preclinical studies and future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should refer to the section of this registration statement titled “Item 3.D.—Risk Factors” for a discussion of important factors that may cause our actual results to differ materially from those expressed or implied by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You should read this registration statement and the documents that we have filed as exhibits to the registration statement completely and with the understanding that our actual future results may be materially different from what we expect. We qualify all of our forward-looking statements by these cautionary statements.</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This registration statement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a clinical-stage biotherapeutics company dedicated to discovering, developing and commercializing highly differentiated medicines for devastating diseases, including inflammatory and immunological conditions, intractable cancers, lymphatic and gastrointestinal diseases and neurological and neuropsychological disorders, among others. The product candidates within our Wholly Owned Pipeline and the products and product candidates being developed by our Founded Entities were initiated by our experienced research and development team and our extensive network of scientists, clinicians and industry leaders and consist of 24 products and product candidates, of which 12 are clinical-stage and two have been cleared by the U.S. Food and Drug Administration and granted marketing authorization in the European Economic Area.</w:t>
      </w:r>
    </w:p>
    <w:p>
      <w:pPr>
        <w:spacing w:after="0" w:line="178"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Our Founded Entities are comprised of our Controlled Founded Entities and our Non-Controlled Founded Entities. References in this registration statement to our “Controlled Founded Entities” refer to Follica, Incorporated, Vedanta Biosciences, Inc., Sonde Health, Inc. Alivio Therapeutics, Inc. and Entrega, Inc. References in this registration statement to our “Non-Controlled Founded Entities” refer to Gelesis, Inc., Akili Interactive Labs, Inc., Karuna Therapeutics, Inc. and Vor Biopharma Inc., and, for all periods prior to December 18, 2019, resTORbio, Inc. We formed each of our Founded Entities and have been involved in development efforts in varying degrees. In the case of each of our Controlled Founded Entities, we continue to maintain majority voting control. With respect to our Non-Controlled Founded Entities, we may benefit from appreciation in our investment as a shareholder of such companies.</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35"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Directors and Senior 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names, ages as of October 27, 2020 and positions of our senior management and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AGE</w:t>
            </w:r>
          </w:p>
        </w:tc>
        <w:tc>
          <w:tcPr>
            <w:tcW w:w="4040" w:type="dxa"/>
            <w:vAlign w:val="bottom"/>
            <w:gridSpan w:val="3"/>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w w:val="74"/>
              </w:rPr>
              <w:t>Senior</w:t>
            </w:r>
          </w:p>
        </w:tc>
        <w:tc>
          <w:tcPr>
            <w:tcW w:w="3480" w:type="dxa"/>
            <w:vAlign w:val="bottom"/>
          </w:tcPr>
          <w:p>
            <w:pPr>
              <w:ind w:left="100"/>
              <w:spacing w:after="0" w:line="195" w:lineRule="exact"/>
              <w:rPr>
                <w:sz w:val="20"/>
                <w:szCs w:val="20"/>
                <w:color w:val="auto"/>
              </w:rPr>
            </w:pPr>
            <w:r>
              <w:rPr>
                <w:rFonts w:ascii="Arial" w:cs="Arial" w:eastAsia="Arial" w:hAnsi="Arial"/>
                <w:sz w:val="18"/>
                <w:szCs w:val="18"/>
                <w:b w:val="1"/>
                <w:bCs w:val="1"/>
                <w:i w:val="1"/>
                <w:iCs w:val="1"/>
                <w:color w:val="auto"/>
              </w:rPr>
              <w:t>Management</w:t>
            </w:r>
          </w:p>
        </w:tc>
        <w:tc>
          <w:tcPr>
            <w:tcW w:w="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Joseph Bolen, Ph.D.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Chief Scientific Officer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Bharatt Chowrira, J.D., Ph.D.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President and Chief of Business and Strategy</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Eric Elenko, Ph.D.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Chief Innovation Officer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Joep Muijrers, Ph.D.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Chief of Portfolio Strategy</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Stephen Muniz, J.D.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w w:val="91"/>
              </w:rPr>
              <w:t>Chief Operating Officer, Company Secretary, Director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Daphne Zohar</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Raju Kucherlapati, Ph.D.</w:t>
            </w:r>
            <w:r>
              <w:rPr>
                <w:rFonts w:ascii="Arial" w:cs="Arial" w:eastAsia="Arial" w:hAnsi="Arial"/>
                <w:sz w:val="15"/>
                <w:szCs w:val="15"/>
                <w:color w:val="auto"/>
              </w:rPr>
              <w:t>(1)(2)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John LaMattina, Ph.D.</w:t>
            </w:r>
            <w:r>
              <w:rPr>
                <w:rFonts w:ascii="Arial" w:cs="Arial" w:eastAsia="Arial" w:hAnsi="Arial"/>
                <w:sz w:val="15"/>
                <w:szCs w:val="15"/>
                <w:color w:val="auto"/>
              </w:rPr>
              <w:t>(2)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15"/>
                <w:szCs w:val="15"/>
                <w:color w:val="auto"/>
              </w:rPr>
              <w:t>(3)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Kiran Mazumdar-Shaw</w:t>
            </w:r>
            <w:r>
              <w:rPr>
                <w:rFonts w:ascii="Arial" w:cs="Arial" w:eastAsia="Arial" w:hAnsi="Arial"/>
                <w:sz w:val="15"/>
                <w:szCs w:val="15"/>
                <w:color w:val="auto"/>
              </w:rPr>
              <w:t>(2)(3)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Dame Marjorie Scardino</w:t>
            </w:r>
            <w:r>
              <w:rPr>
                <w:rFonts w:ascii="Arial" w:cs="Arial" w:eastAsia="Arial" w:hAnsi="Arial"/>
                <w:sz w:val="15"/>
                <w:szCs w:val="15"/>
                <w:color w:val="auto"/>
              </w:rPr>
              <w:t>(1)(3)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Christopher Viehbacher</w:t>
            </w:r>
            <w:r>
              <w:rPr>
                <w:rFonts w:ascii="Arial" w:cs="Arial" w:eastAsia="Arial" w:hAnsi="Arial"/>
                <w:sz w:val="15"/>
                <w:szCs w:val="15"/>
                <w:color w:val="auto"/>
              </w:rPr>
              <w:t>(1)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Chairman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Member of the Remuneration Committee.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Member of the Nomination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 xml:space="preserve">Joseph Bolen, Ph.D. </w:t>
      </w:r>
      <w:r>
        <w:rPr>
          <w:rFonts w:ascii="Arial" w:cs="Arial" w:eastAsia="Arial" w:hAnsi="Arial"/>
          <w:sz w:val="17"/>
          <w:szCs w:val="17"/>
          <w:color w:val="auto"/>
        </w:rPr>
        <w:t>has served as our chief scientific officer since October 2015. Prior to his appointment as chief scientific officer, Dr. Bolen oversaw</w:t>
      </w:r>
      <w:r>
        <w:rPr>
          <w:rFonts w:ascii="Arial" w:cs="Arial" w:eastAsia="Arial" w:hAnsi="Arial"/>
          <w:sz w:val="17"/>
          <w:szCs w:val="17"/>
          <w:i w:val="1"/>
          <w:iCs w:val="1"/>
          <w:color w:val="auto"/>
        </w:rPr>
        <w:t xml:space="preserve"> </w:t>
      </w:r>
      <w:r>
        <w:rPr>
          <w:rFonts w:ascii="Arial" w:cs="Arial" w:eastAsia="Arial" w:hAnsi="Arial"/>
          <w:sz w:val="17"/>
          <w:szCs w:val="17"/>
          <w:color w:val="auto"/>
        </w:rPr>
        <w:t>all aspects of research and development, or R&amp;D, for Moderna, Inc. as president and chief scientific officer from July 2013 to October 2015. Previously, he was chief scientific officer and global head of oncology research at Millennium: The Takeda Oncology Company. Prior to joining Millennium in 1999, Dr. Bolen held senior positions at Hoechst Marion Roussel, Schering-Plough and Bristol-Myers Squibb. Dr. Bolen began his career at the National Institutes of Health, where he contributed to the discovery of a class of proteins known as tyrosine kinase oncogenes as key regulators of the immune system. Dr. Bolen received a B.S. degree in Microbiology &amp; Chemistry and a Ph.D. in Immunology from the University of Nebraska and conducted his postdoctoral training in Molecular Virology at the Kansas State University Cancer Center.</w:t>
      </w:r>
    </w:p>
    <w:p>
      <w:pPr>
        <w:spacing w:after="0" w:line="17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i w:val="1"/>
          <w:iCs w:val="1"/>
          <w:color w:val="auto"/>
        </w:rPr>
        <w:t xml:space="preserve">Bharatt Chowrira, J.D., Ph.D. </w:t>
      </w:r>
      <w:r>
        <w:rPr>
          <w:rFonts w:ascii="Arial" w:cs="Arial" w:eastAsia="Arial" w:hAnsi="Arial"/>
          <w:sz w:val="16"/>
          <w:szCs w:val="16"/>
          <w:color w:val="auto"/>
        </w:rPr>
        <w:t>has served as our president and chief of business and strategy since March 2017. Prior to joining PureTech, Dr. Chowrira</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president of Synlogic, Inc., a biopharmaceutical company focused on developing synthetic microbiome-based therapeutics, from September 2015 to February 2017, where he oversaw and managed corporate and business development, alliance management, financial, human resources, intellectual property and legal operations. Prior to that, Dr. Chowrira was the chief operating officer of Auspex Pharmaceuticals, Inc. from October 2013 to July 2015, which was acquired by Teva Pharmaceuticals Ltd. in the spring of 2015. Previously, he was president and chief executive officer of Addex Therapeutics Ltd., a biotechnology company publicly-traded on the SIX Swiss Exchange, from August 2011 to July 2013. Prior to that Dr. Chowrira held various leadership and management positions at Nektar Therapeutics (chief operating officer), Merck &amp; Co, or Merck (vice president), Sirna Therapeutics (general counsel; acquired by Merck) and Ribozyme Pharmaceuticals (chief patent counsel). Dr. Chowrira is currently a member of the board of directors of Vedanta Biosciences, Inc., or Vedanta. Dr. Chowrira received a J.D. from the University of Denver’s Sturm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College of Law, a Ph.D. in Molecular Biology from the University of Vermont College of Medicine, an M.S. in Molecular Biology from Illinois State University and a B.S. in Microbiology from the UAS, Bangalore, India.</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Eric Elenko, Ph.D. </w:t>
      </w:r>
      <w:r>
        <w:rPr>
          <w:rFonts w:ascii="Arial" w:cs="Arial" w:eastAsia="Arial" w:hAnsi="Arial"/>
          <w:sz w:val="16"/>
          <w:szCs w:val="16"/>
          <w:color w:val="auto"/>
        </w:rPr>
        <w:t>has served as our chief innovation officer since June 2015 and held various other positions at PureTech prior thereto. While at</w:t>
      </w:r>
      <w:r>
        <w:rPr>
          <w:rFonts w:ascii="Arial" w:cs="Arial" w:eastAsia="Arial" w:hAnsi="Arial"/>
          <w:sz w:val="16"/>
          <w:szCs w:val="16"/>
          <w:i w:val="1"/>
          <w:iCs w:val="1"/>
          <w:color w:val="auto"/>
        </w:rPr>
        <w:t xml:space="preserve"> </w:t>
      </w:r>
      <w:r>
        <w:rPr>
          <w:rFonts w:ascii="Arial" w:cs="Arial" w:eastAsia="Arial" w:hAnsi="Arial"/>
          <w:sz w:val="16"/>
          <w:szCs w:val="16"/>
          <w:color w:val="auto"/>
        </w:rPr>
        <w:t>PureTech, Dr. Elenko has led the development of a number of programs, including Akili Interactive Labs, Gelesis, Karuna Therapeutics and Sonde Health. Dr. Elenko serves on the board of directors of Sonde and Alivio. Prior to joining PureTech, Dr. Elenko was a consultant with McKinsey and Company from February 2002 to September 2005, where he advised senior executives of both Fortune 500 and specialty pharmaceutical companies on a range of issues such as product licensing, mergers and acquisitions, research and development strategy and marketing. Dr. Elenko received a B.A. in Biology from Swarthmore College and his Ph.D. in Biomedical Sciences from University of California, San Diego.</w:t>
      </w:r>
    </w:p>
    <w:p>
      <w:pPr>
        <w:spacing w:after="0" w:line="16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Joep Muijrers, Ph.D. </w:t>
      </w:r>
      <w:r>
        <w:rPr>
          <w:rFonts w:ascii="Arial" w:cs="Arial" w:eastAsia="Arial" w:hAnsi="Arial"/>
          <w:sz w:val="16"/>
          <w:szCs w:val="16"/>
          <w:color w:val="auto"/>
        </w:rPr>
        <w:t>has served as our chief portfolio strategy since May 2020, and previously served as our chief financial officer from April 2018 to</w:t>
      </w:r>
      <w:r>
        <w:rPr>
          <w:rFonts w:ascii="Arial" w:cs="Arial" w:eastAsia="Arial" w:hAnsi="Arial"/>
          <w:sz w:val="16"/>
          <w:szCs w:val="16"/>
          <w:i w:val="1"/>
          <w:iCs w:val="1"/>
          <w:color w:val="auto"/>
        </w:rPr>
        <w:t xml:space="preserve"> </w:t>
      </w:r>
      <w:r>
        <w:rPr>
          <w:rFonts w:ascii="Arial" w:cs="Arial" w:eastAsia="Arial" w:hAnsi="Arial"/>
          <w:sz w:val="16"/>
          <w:szCs w:val="16"/>
          <w:color w:val="auto"/>
        </w:rPr>
        <w:t>May 2020. Prior to joining PureTech, he was a portfolio manager and partner at Life Science Partners, or LSP, a specialist investor group with sole focus on investing in healthcare and life sciences, in The Netherlands and in Boston for 11 years. Prior to joining LSP, he held the position of director corporate finance and capital markets at Fortis Bank, currently part of ABN AMRO. Dr. Muijrers is currently a member of the board of directors of Alivio, Entrega, Follica and Sonde. Dr. Muijrers received a M.S. degree from the University of Nijmegen and a Ph.D. from EMBL Heidelberg.</w:t>
      </w:r>
    </w:p>
    <w:p>
      <w:pPr>
        <w:spacing w:after="0" w:line="16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i w:val="1"/>
          <w:iCs w:val="1"/>
          <w:color w:val="auto"/>
        </w:rPr>
        <w:t xml:space="preserve">Stephen Muniz, J.D. </w:t>
      </w:r>
      <w:r>
        <w:rPr>
          <w:rFonts w:ascii="Arial" w:cs="Arial" w:eastAsia="Arial" w:hAnsi="Arial"/>
          <w:sz w:val="18"/>
          <w:szCs w:val="18"/>
          <w:color w:val="auto"/>
        </w:rPr>
        <w:t>has served as our chief operating officer and a member of our board of directors since June 2015, and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of legal, finance and operations since 2007. Prior to joining PureTech, Mr. Muniz was a partner in the Corporate Department of Locke Lord LLP, where he practiced law for 10 years. Mr. Muniz’s practice at Locke Lord LLP focused on the representation of life science venture funds as well as their portfolio companies in general corporate matters and in investment and liquidity transactions. He was also a Kauffman entrepreneur fellow, a program sponsored by the Kauffman Foundation. Mr. Muniz also sits on the board of directors of Entrega, Follica and Alivio. Mr. Muniz received a B.A. in Economics and Accounting from The College of the Holy Cross and a J.D. from the New England School of Law where he graduated summa cum laude.</w:t>
      </w:r>
    </w:p>
    <w:p>
      <w:pPr>
        <w:spacing w:after="0" w:line="8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i w:val="1"/>
          <w:iCs w:val="1"/>
          <w:color w:val="auto"/>
        </w:rPr>
        <w:t xml:space="preserve">Daphne Zohar </w:t>
      </w:r>
      <w:r>
        <w:rPr>
          <w:rFonts w:ascii="Arial" w:cs="Arial" w:eastAsia="Arial" w:hAnsi="Arial"/>
          <w:sz w:val="17"/>
          <w:szCs w:val="17"/>
          <w:color w:val="auto"/>
        </w:rPr>
        <w:t>has served as our chief executive officer and a member of our board of directors since our formation and UK main market listing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served as the founding chief executive officer of a number of our Founded Entities. A successful entrepreneur, Ms. Zohar created PureTech, assembling a leading team and scientific network to help implement her vision for the company, and was a key participant in fundraising, business development and establishing the underlying programs and platforms that have resulted in PureTech’s substantial pipeline of 24 products and product candidates to date, including two products that have been cleared by the U.S. Food and Drug Administration and granted marketing authorization in the European Economic Area, or EEA. Ms. Zohar has been recognized as a top leader and innovator in biotechnology by a number of sources, including BioWorld, MIT’s Technology Review, the Boston Globe, and Scientific American. She is an editorial advisor to Xconomy, a U.S. news company, and is a founding faculty member of The BioPharma Hub. Previously, Ms. Zohar has served on a number of private company boards. Ms. Zohar received a Bachelor of Science degree from Northeastern University.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i w:val="1"/>
          <w:iCs w:val="1"/>
          <w:color w:val="auto"/>
        </w:rPr>
        <w:t xml:space="preserve">Raju Kucherlapati, Ph.D. </w:t>
      </w:r>
      <w:r>
        <w:rPr>
          <w:rFonts w:ascii="Arial" w:cs="Arial" w:eastAsia="Arial" w:hAnsi="Arial"/>
          <w:sz w:val="16"/>
          <w:szCs w:val="16"/>
          <w:color w:val="auto"/>
        </w:rPr>
        <w:t>has served as a member of our board of directors since 2014. He has been the Paul C. Cabot professor of Genetics and a</w:t>
      </w:r>
      <w:r>
        <w:rPr>
          <w:rFonts w:ascii="Arial" w:cs="Arial" w:eastAsia="Arial" w:hAnsi="Arial"/>
          <w:sz w:val="16"/>
          <w:szCs w:val="16"/>
          <w:i w:val="1"/>
          <w:iCs w:val="1"/>
          <w:color w:val="auto"/>
        </w:rPr>
        <w:t xml:space="preserve"> </w:t>
      </w:r>
      <w:r>
        <w:rPr>
          <w:rFonts w:ascii="Arial" w:cs="Arial" w:eastAsia="Arial" w:hAnsi="Arial"/>
          <w:sz w:val="16"/>
          <w:szCs w:val="16"/>
          <w:color w:val="auto"/>
        </w:rPr>
        <w:t>professor of medicine at Harvard Medical School since 2001. Dr. Kucherlapati currently serves on the board of directors of Gelesis, Inc. and KEW Inc. He was a founder and former board member of Abgenix, Cell Genesys and Millennium Pharmaceuticals. He is a fellow of the American Association for the Advancement of Science and a member of the Institute of Medicine of NAS. Dr. Kucherlapati received his Ph.D. from the University of Illinois. He trained at Yale and has held faculty positions at Princeton University, University of Illinois College of Medicine and the Albert Einstein College of Medicine. He served on the editorial board of the New England Journal of Medicine and was Editor in Chief of the journal Genomics. His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laboratory at Harvard Medical School is involved in cloning and characterization of human disease genes with a focus on human syndromes with a significant cardiovascular involvement, use of genetic/genomic approaches to understand the biology of cancer and the generation and characterization of genetically modified mouse models for cancer and other human disorders.</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 xml:space="preserve">John LaMattina, Ph.D. </w:t>
      </w:r>
      <w:r>
        <w:rPr>
          <w:rFonts w:ascii="Arial" w:cs="Arial" w:eastAsia="Arial" w:hAnsi="Arial"/>
          <w:sz w:val="17"/>
          <w:szCs w:val="17"/>
          <w:color w:val="auto"/>
        </w:rPr>
        <w:t>has served as a member of our board of directors since 2009. Dr. LaMattina previously worked at Pfizer in different roles from</w:t>
      </w:r>
      <w:r>
        <w:rPr>
          <w:rFonts w:ascii="Arial" w:cs="Arial" w:eastAsia="Arial" w:hAnsi="Arial"/>
          <w:sz w:val="17"/>
          <w:szCs w:val="17"/>
          <w:i w:val="1"/>
          <w:iCs w:val="1"/>
          <w:color w:val="auto"/>
        </w:rPr>
        <w:t xml:space="preserve"> </w:t>
      </w:r>
      <w:r>
        <w:rPr>
          <w:rFonts w:ascii="Arial" w:cs="Arial" w:eastAsia="Arial" w:hAnsi="Arial"/>
          <w:sz w:val="17"/>
          <w:szCs w:val="17"/>
          <w:color w:val="auto"/>
        </w:rPr>
        <w:t>1977 to 2007, including vice president of U.S. Discovery Operations in 1993, senior vice president of worldwide discovery operations in 1998, senior vice president of worldwide development in 1999, and president of global research and development from 2003 to 2007. Dr. LaMattina serves on the board of directors of Ligand Pharmaceuticals, Immunome Inc. and Vedanta and is chairman of the board of directors of Alivio. Dr. LaMattina previously served on the board of Zafgen, Inc. until April 2020. He also serves on the Scientific Advisory Board of Frequency Therapeutics and is a trustee associate of Boston College. During Dr. LaMattina’s leadership tenure, Pfizer discovered and/or developed a number of important new medicines including Tarceva, Chantix, Zoloft, Selzentry and Lyrica, along with a number of other medicines currently in late stage development for cancer, rheumatoid arthritis and pain. He is the author of numerous scientific publications and U.S. patents. Dr. LaMattina received the 1998 Boston College Alumni Award of Excellence in Science and the 2004 American Diabetes Association Award for Leadership and Commitment in the Fight Against Diabetes. He was awarded an Honorary Doctor of Science degree from the University of New Hampshire in 2007. In 2010, he was the recipient of the American Chemical Society’s Earle B. Barnes Award for Leadership in Chemical Research Management. He is the author of “Devalued and Distrusted —Can the Pharmaceutical Industry Restore its Broken Image,” “Drug Truths: Dispelling the Myths About Pharma R&amp;D” and an author of the Drug Truths blog at Forbes.com. Dr. LaMattina received a B.S. in Chemistry from Boston College and received a Ph.D. in Organic Chemistry from the University of New Hampshire. He then moved on to Princeton University as a National Institutes of Health postdoctoral fellow in the laboratory of professor E. C. Taylor.</w:t>
      </w:r>
    </w:p>
    <w:p>
      <w:pPr>
        <w:spacing w:after="0" w:line="18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i w:val="1"/>
          <w:iCs w:val="1"/>
          <w:color w:val="auto"/>
        </w:rPr>
        <w:t xml:space="preserve">Robert Langer, Sc.D. </w:t>
      </w:r>
      <w:r>
        <w:rPr>
          <w:rFonts w:ascii="Arial" w:cs="Arial" w:eastAsia="Arial" w:hAnsi="Arial"/>
          <w:sz w:val="16"/>
          <w:szCs w:val="16"/>
          <w:color w:val="auto"/>
        </w:rPr>
        <w:t>has served as a member of our board of directors since our founding and is our co-founder. Dr. Langer has served as the David H.</w:t>
      </w:r>
      <w:r>
        <w:rPr>
          <w:rFonts w:ascii="Arial" w:cs="Arial" w:eastAsia="Arial" w:hAnsi="Arial"/>
          <w:sz w:val="16"/>
          <w:szCs w:val="16"/>
          <w:i w:val="1"/>
          <w:iCs w:val="1"/>
          <w:color w:val="auto"/>
        </w:rPr>
        <w:t xml:space="preserve"> </w:t>
      </w:r>
      <w:r>
        <w:rPr>
          <w:rFonts w:ascii="Arial" w:cs="Arial" w:eastAsia="Arial" w:hAnsi="Arial"/>
          <w:sz w:val="16"/>
          <w:szCs w:val="16"/>
          <w:color w:val="auto"/>
        </w:rPr>
        <w:t>Koch Institute professor at MIT since 2005. He served as a member of the FDA’s science board from 1995 to 2002 and as its chairman from 1999 to 2002. Dr. Langer serves on the board of directors of Seer Bio, Abpro Bio, Frequency Therapeutics, Alivio Therapeutics, Entrega, Inc. and Moderna, Inc. Dr. Langer has received over 220 major awards, including the 2006 U.S. National Medal of Science, the Charles Stark Draper Prize in 2002 and the 2012 Priestley Medal. He is also the first engineer to ever receive the Gairdner Foundation International Award. Dr. Langer has received the Dickson Prize for Science, Heinz Award, Harvey Prize, John Fritz Award, General Motors Kettering Prize for Cancer Research, Dan David Prize in Materials Science, Breakthough Prize in Life Sciences, National Medal of Science, National Medal of Technology and Innovation, Kyoto Prize, Wolf Prize, Albany Medical Center Prize in Medicine and Biomedical Research and the Lemelson-MIT prize. In 2006, he was inducted into the National Inventors Hall of Fame. In January 2015, Dr. Langer was awarded the 2015 Queen Elizabeth Prize for Engineering. Dr. Langer received his bachelor’s degree in Chemical Engineering from Cornell University and his Sc.D. in Chemical Engineering from MIT.</w:t>
      </w:r>
    </w:p>
    <w:p>
      <w:pPr>
        <w:spacing w:after="0" w:line="16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 xml:space="preserve">Kiran Mazumdar-Shaw </w:t>
      </w:r>
      <w:r>
        <w:rPr>
          <w:rFonts w:ascii="Arial" w:cs="Arial" w:eastAsia="Arial" w:hAnsi="Arial"/>
          <w:sz w:val="16"/>
          <w:szCs w:val="16"/>
          <w:color w:val="auto"/>
        </w:rPr>
        <w:t>has served as a member of our board of directors since September 2020. Ms. Mazumdar-Shaw has been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chairperson of Biocon Limited, which she founded in 1978, since April 2020 and she served as managing director of Biocon Limited from 1995 to 2020. Ms. Mazumdar-Shaw holds key positions in various industry, educational, government and professional bodies globally. She has been elected as a full-term member of the board of trustees of The Massachusetts Institute of Technology. She has been elected as a member of the prestigious U.S.-based National Academy of Engineering. She also serves as the lead independent member of the board of Infosys Ltd, a director on the board of United Breweries Limited, and non-executive director on the board of Narayana Health. Ms. Mazumdar-Shaw has received two of India’s highest civilian honors, the Padma Shri in 1989 and the Padma Bhushan in 2005. She was also honored with the Order of Australia, Australia’s highest civilian honor in January 2020. In 2016, she was conferred with the highest French distinction - Knight of the Legion of Honour - and in 2014 received the Othmer Gold Medal in 2014 from the U.S.-based Chemical Heritage Foundation for her pioneering efforts in biotechnology. Ms. Mazumdar-Shaw has been ranked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as one of the world’s top 20 inspirational leaders in the field of biopharmaceuticals by The Medicine Maker Power List 2020 and she was the winner of EY World Entrepreneur of the Year</w:t>
      </w:r>
      <w:r>
        <w:rPr>
          <w:rFonts w:ascii="Arial" w:cs="Arial" w:eastAsia="Arial" w:hAnsi="Arial"/>
          <w:sz w:val="15"/>
          <w:szCs w:val="15"/>
          <w:color w:val="auto"/>
        </w:rPr>
        <w:t>™</w:t>
      </w:r>
      <w:r>
        <w:rPr>
          <w:rFonts w:ascii="Arial" w:cs="Arial" w:eastAsia="Arial" w:hAnsi="Arial"/>
          <w:sz w:val="18"/>
          <w:szCs w:val="18"/>
          <w:color w:val="auto"/>
        </w:rPr>
        <w:t xml:space="preserve"> 2020 Award. She was the first woman business leader from India to sign the Giving Pledge, an initiative of the Gates Foundation, committing to give the majority of her wealth to philanthropic causes. She received a bachelor’s degree in science, Zoology Hons., from Bangalore University and a master’s degree in malting and brewing from Ballarat College, Melbourne University. She has been awarded several honorary degrees from other universities globally.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 xml:space="preserve">Dame Marjorie Scardino </w:t>
      </w:r>
      <w:r>
        <w:rPr>
          <w:rFonts w:ascii="Arial" w:cs="Arial" w:eastAsia="Arial" w:hAnsi="Arial"/>
          <w:sz w:val="17"/>
          <w:szCs w:val="17"/>
          <w:color w:val="auto"/>
        </w:rPr>
        <w:t>has served as a member of our board of directors since 2015. She served as chairman of The MacArthur Foundation from 2012</w:t>
      </w:r>
      <w:r>
        <w:rPr>
          <w:rFonts w:ascii="Arial" w:cs="Arial" w:eastAsia="Arial" w:hAnsi="Arial"/>
          <w:sz w:val="17"/>
          <w:szCs w:val="17"/>
          <w:i w:val="1"/>
          <w:iCs w:val="1"/>
          <w:color w:val="auto"/>
        </w:rPr>
        <w:t xml:space="preserve"> </w:t>
      </w:r>
      <w:r>
        <w:rPr>
          <w:rFonts w:ascii="Arial" w:cs="Arial" w:eastAsia="Arial" w:hAnsi="Arial"/>
          <w:sz w:val="17"/>
          <w:szCs w:val="17"/>
          <w:color w:val="auto"/>
        </w:rPr>
        <w:t>to 2017. Dame Scardino previously served as chief executive officer of The Economist and as the chief executive officer of Pearson plc, the world’s leading education company and the owner of Penguin Books and The Financial Times Group. She is a member of the non-profit board of directors of Oxfam, The Royal College of Art, the MacArthur Foundation and The Carter Center. She was previously a member of the board of directors of Twitter and International Airlines Group. Dame Scardino has received a number of honorary degrees, and in 2003 was dubbed a dame of the British Empire. She is also a member of the Royal Society of the Arts in the UK and the American Association of Arts and Sciences.</w:t>
      </w:r>
    </w:p>
    <w:p>
      <w:pPr>
        <w:spacing w:after="0" w:line="17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i w:val="1"/>
          <w:iCs w:val="1"/>
          <w:color w:val="auto"/>
        </w:rPr>
        <w:t xml:space="preserve">Christopher Viehbacher </w:t>
      </w:r>
      <w:r>
        <w:rPr>
          <w:rFonts w:ascii="Arial" w:cs="Arial" w:eastAsia="Arial" w:hAnsi="Arial"/>
          <w:sz w:val="16"/>
          <w:szCs w:val="16"/>
          <w:color w:val="auto"/>
        </w:rPr>
        <w:t>has served as a member of our board of directors since 2015 and as chairman since September 2019. He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Gurnet Point Capital since October 2014. Immediately prior to joining Gurnet Point Capital, Mr. Viehbacher served as the chief executive officer and member of the board of directors of Sanofi from December 2008 to October 2014. From 1993 to 2008, Mr. Viehbacher worked at GlaxoSmithKline in different roles, including ultimately President of its North American pharmaceutical division. Mr. Viehbacher began his career with PricewaterhouseCoopers LLP and qualified as a chartered accountant. Mr. Viehbacher currently serves on the board of directors of Vedanta Biosciences as chairman, BEFORE Brands, Crossover Health, Boston Pharmaceuticals, Zikani and Gurnet Point Capital LLC. Mr. Viehbacher previously served on the board of directors of Axcella Health Inc. and Corium International, Inc. Mr. Viehbacher also serves on the Board of Trustees of Northeastern University and the Board of Fellows of Stanford Medical School. Mr. Viehbacher has co-chaired the Chief Executive Officer Roundtable on Neglected Diseases with Bill Gates and formerly chaired the chief executive officer Roundtable on Cancer. He was the chairman of the board of the Pharmaceutical Research and Manufacturers of America as well as president of the European Federation of Pharmaceutical Industries and Associations. At the World Economic Forum at Davos, Mr. Viehbacher was a chair of the Health Governors and co-chaired an initiative to create a Global Charter for Healthy Living. He was also a member of the International Business Council. Mr. Viehbacher has received the Pasteur Foundation Award for outstanding commitment to safeguarding and improving health worldwide. He has also received France’s highest civilian honor, the L´egion d’Honneur. Mr. Viehbacher received his bachelor’s degree in Commerce from Queen’s University in Ontario, Canada in 1983.</w:t>
      </w:r>
    </w:p>
    <w:p>
      <w:pPr>
        <w:spacing w:after="0" w:line="319"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Advisers</w:t>
      </w:r>
    </w:p>
    <w:p>
      <w:pPr>
        <w:spacing w:after="0" w:line="117"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Our principal United States, legal adviser is Goodwin Procter LLP, located at 100 Northern Avenue, Boston, Massachusetts 02210 and our principal United Kingdom legal adviser is DLA Piper LLP, located at 160 Aldersgate Street, London EC1A 4HT, United Kingdom.</w:t>
      </w:r>
    </w:p>
    <w:p>
      <w:pPr>
        <w:spacing w:after="0" w:line="29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Auditors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KPMG LLP has been our auditor since 2015. The address for KPMG LLP is 15 Canada Square, London E14 5GL, United Kingdom.</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derived the selected consolidated financial data as of and for the years ended December 31, 2019, 2018 and 2017 from our audited consolidated financial statements included elsewhere in this registration statement. We have derived the selected consolidated financial data as of and for the six months ended June 30, 2020 and 2019 from our unaudited condensed consolidated financial statements included elsewhere in this registration statement. The unaudited condensed consolidated financial statements have been prepared on the same recognition and measurement basis as the audited financial statements and, in the opinion of management, reflect all adjustments, which include only normal recurring adjustments, necessary to state fairly our financial position as of June 30, 2020 and the results of operations for the six months ended June 30, 2020 and 2019. We present our consolidated financial statements in accordance with International Financial Reporting Standards, as issued by the International Accounting Standards Board.</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summary consolidated financial data below should be read together with those consolidated financial statements as well as the Item 5. “Operating and Financial Review and Prospects.” Our historical results for any prior period are not necessarily indicative of results to be expected in any future period, and our interim period results are not necessarily indicative of results to be expected for a full year or any other interim period.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Income Statement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December 31, December 31,</w:t>
            </w:r>
          </w:p>
        </w:tc>
        <w:tc>
          <w:tcPr>
            <w:tcW w:w="80" w:type="dxa"/>
            <w:vAlign w:val="bottom"/>
          </w:tcPr>
          <w:p>
            <w:pPr>
              <w:spacing w:after="0"/>
              <w:rPr>
                <w:sz w:val="14"/>
                <w:szCs w:val="14"/>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June 30, June 30,</w:t>
            </w:r>
          </w:p>
        </w:tc>
        <w:tc>
          <w:tcPr>
            <w:tcW w:w="0" w:type="dxa"/>
            <w:vAlign w:val="bottom"/>
          </w:tcPr>
          <w:p>
            <w:pPr>
              <w:spacing w:after="0"/>
              <w:rPr>
                <w:sz w:val="1"/>
                <w:szCs w:val="1"/>
                <w:color w:val="auto"/>
              </w:rPr>
            </w:pPr>
          </w:p>
        </w:tc>
      </w:tr>
      <w:tr>
        <w:trPr>
          <w:trHeight w:val="142"/>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6"/>
                <w:szCs w:val="16"/>
                <w:color w:val="auto"/>
              </w:rPr>
              <w:t>Grant revenue</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1,119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9,807</w:t>
            </w: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20,748</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2,535</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6,844</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(59,358)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(47,365)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(46,283)</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(21,376)</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(29,196)</w:t>
            </w: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Research and development expenses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(85,848)</w:t>
            </w:r>
          </w:p>
        </w:tc>
        <w:tc>
          <w:tcPr>
            <w:tcW w:w="8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(77,402)</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(71,672)</w:t>
            </w: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(38,250)</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(45,507)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income/(loss)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0"/>
              </w:rPr>
              <w:t>(135,399)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90"/>
              </w:rPr>
              <w:t>(104,019)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0"/>
              </w:rPr>
              <w:t>(115,420)</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3"/>
              </w:rPr>
              <w:t>(52,782)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3"/>
              </w:rPr>
              <w:t>(70,317)</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Other income/(expense):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deconsolidation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264,409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108,395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Gain/(loss) on investments held at fair value</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(37,863)</w:t>
            </w:r>
          </w:p>
        </w:tc>
        <w:tc>
          <w:tcPr>
            <w:tcW w:w="8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(34,615)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57,334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276,910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realized on sale of investment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(44,539)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Loss on impairment of intangible asset</w:t>
            </w: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Gain/(loss) on disposal of assets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Gain on loss of significant influence</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445,582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10,287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income/(expense)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Other income/(loss)</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672,167</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21,154</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142,364</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232,852</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160,729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Finance income/(costs):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Finance income</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Finance income/(costs) – subsidiary preferred shares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6"/>
                <w:szCs w:val="16"/>
                <w:color w:val="auto"/>
              </w:rPr>
              <w:t>Finance income/(costs) – contractual</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(2,576)</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Finance income/(costs) – fair value accounting</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(46,475)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(71,735)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(32,978)</w:t>
            </w:r>
          </w:p>
        </w:tc>
        <w:tc>
          <w:tcPr>
            <w:tcW w:w="0" w:type="dxa"/>
            <w:vAlign w:val="bottom"/>
          </w:tcPr>
          <w:p>
            <w:pPr>
              <w:spacing w:after="0"/>
              <w:rPr>
                <w:sz w:val="1"/>
                <w:szCs w:val="1"/>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Net finance income/(costs)</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(46,147)</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25,917</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(80,047)</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1,685</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3"/>
              </w:rPr>
              <w:t>(34,126)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 of net gain/(loss) of associates accounted for using the equity method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(11,490)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(17,608)</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(7,271)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Impairment of investment in associate</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(42,938)</w:t>
            </w:r>
          </w:p>
        </w:tc>
        <w:tc>
          <w:tcPr>
            <w:tcW w:w="80" w:type="dxa"/>
            <w:vAlign w:val="bottom"/>
          </w:tcPr>
          <w:p>
            <w:pPr>
              <w:spacing w:after="0"/>
              <w:rPr>
                <w:sz w:val="17"/>
                <w:szCs w:val="17"/>
                <w:color w:val="auto"/>
              </w:rPr>
            </w:pPr>
          </w:p>
        </w:tc>
        <w:tc>
          <w:tcPr>
            <w:tcW w:w="9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Income/(loss) before income taxes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478,474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(68,438)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(70,711)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174,483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Taxation</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(112,409)</w:t>
            </w:r>
          </w:p>
        </w:tc>
        <w:tc>
          <w:tcPr>
            <w:tcW w:w="80" w:type="dxa"/>
            <w:vAlign w:val="bottom"/>
          </w:tcPr>
          <w:p>
            <w:pPr>
              <w:spacing w:after="0"/>
              <w:rPr>
                <w:sz w:val="17"/>
                <w:szCs w:val="17"/>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(2,221)</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(4,383)</w:t>
            </w: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(50,775)</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(25,142)</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income/(loss) including non-controlling interest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366,065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(70,659)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(75,094)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123,708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6"/>
                <w:szCs w:val="16"/>
                <w:b w:val="1"/>
                <w:bCs w:val="1"/>
                <w:color w:val="auto"/>
              </w:rPr>
              <w:t>Net (loss)/income attributable to the Company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421,144</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(43,654</w:t>
            </w:r>
          </w:p>
        </w:tc>
        <w:tc>
          <w:tcPr>
            <w:tcW w:w="320" w:type="dxa"/>
            <w:vAlign w:val="bottom"/>
          </w:tcPr>
          <w:p>
            <w:pPr>
              <w:jc w:val="right"/>
              <w:ind w:right="179"/>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26,472</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123,957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Earnings/(loss) per share: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rPr>
                <w:sz w:val="20"/>
                <w:szCs w:val="20"/>
                <w:color w:val="auto"/>
              </w:rPr>
            </w:pPr>
            <w:r>
              <w:rPr>
                <w:rFonts w:ascii="Arial" w:cs="Arial" w:eastAsia="Arial" w:hAnsi="Arial"/>
                <w:sz w:val="16"/>
                <w:szCs w:val="16"/>
                <w:color w:val="auto"/>
              </w:rPr>
              <w:t>Basic earnings/(loss)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0.43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$132,360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$ 117,051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72,649</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340,120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29,643</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(5,978)</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(75,753)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190,832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941,178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441,763</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339,846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1,105,523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254,444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(167,692)</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(132,270)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378,400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650,398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166,972</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59,600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766,879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424"/>
        <w:spacing w:after="0" w:line="27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7"/>
          <w:szCs w:val="17"/>
          <w:color w:val="auto"/>
        </w:rPr>
        <w:t>We define working capital as current assets less current liabilities. We rely on working capital to fund future operations and advance our research and development activities. Our working capital as of December 31, 2019, 2018 and 2017 is calculated as follows (in thousands): December 31, 2019, $168,845-$139,201=$29,643; December 31, 2018, $259,786–$265,764=$(5,978); December 31, 2017, $198,109-$273,862=$(75,753). Our working capital as of June 30, 2020 is calculated as follows (in thousands): $346,871–$156,039=$190,832.</w:t>
      </w:r>
    </w:p>
    <w:p>
      <w:pPr>
        <w:spacing w:after="0" w:line="31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table below sets forth our cash and cash equivalents and shows our capitalization as of June 30, 2020. You should read this table in conjunction with our unaudited condensed consolidated financial statements included in this registration statement, together with the accompanying notes and the other information appearing under the heading “Item 5. Operating and Financial Review and Prospects”.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340,120</w:t>
            </w:r>
          </w:p>
        </w:tc>
        <w:tc>
          <w:tcPr>
            <w:tcW w:w="0" w:type="dxa"/>
            <w:vAlign w:val="bottom"/>
          </w:tcPr>
          <w:p>
            <w:pPr>
              <w:spacing w:after="0"/>
              <w:rPr>
                <w:sz w:val="1"/>
                <w:szCs w:val="1"/>
                <w:color w:val="auto"/>
              </w:rPr>
            </w:pPr>
          </w:p>
        </w:tc>
      </w:tr>
      <w:tr>
        <w:trPr>
          <w:trHeight w:val="223"/>
        </w:trPr>
        <w:tc>
          <w:tcPr>
            <w:tcW w:w="10040" w:type="dxa"/>
            <w:vAlign w:val="bottom"/>
          </w:tcPr>
          <w:p>
            <w:pPr>
              <w:spacing w:after="0"/>
              <w:rPr>
                <w:sz w:val="20"/>
                <w:szCs w:val="20"/>
                <w:color w:val="auto"/>
              </w:rPr>
            </w:pPr>
            <w:r>
              <w:rPr>
                <w:rFonts w:ascii="Arial" w:cs="Arial" w:eastAsia="Arial" w:hAnsi="Arial"/>
                <w:sz w:val="18"/>
                <w:szCs w:val="18"/>
                <w:color w:val="auto"/>
              </w:rPr>
              <w:t>Debt:</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24"/>
        </w:trPr>
        <w:tc>
          <w:tcPr>
            <w:tcW w:w="1004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 nominal value £0.01 par value per ordinary share; 285,512,461 shares issued and outstanding</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10040" w:type="dxa"/>
            <w:vAlign w:val="bottom"/>
          </w:tcPr>
          <w:p>
            <w:pPr>
              <w:ind w:left="360"/>
              <w:spacing w:after="0"/>
              <w:rPr>
                <w:sz w:val="20"/>
                <w:szCs w:val="20"/>
                <w:color w:val="auto"/>
              </w:rPr>
            </w:pPr>
            <w:r>
              <w:rPr>
                <w:rFonts w:ascii="Arial" w:cs="Arial" w:eastAsia="Arial" w:hAnsi="Arial"/>
                <w:sz w:val="18"/>
                <w:szCs w:val="18"/>
                <w:color w:val="auto"/>
              </w:rPr>
              <w:t>Merger reserve</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138,506</w:t>
            </w: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288,225</w:t>
            </w:r>
          </w:p>
        </w:tc>
        <w:tc>
          <w:tcPr>
            <w:tcW w:w="0" w:type="dxa"/>
            <w:vAlign w:val="bottom"/>
          </w:tcPr>
          <w:p>
            <w:pPr>
              <w:spacing w:after="0"/>
              <w:rPr>
                <w:sz w:val="1"/>
                <w:szCs w:val="1"/>
                <w:color w:val="auto"/>
              </w:rPr>
            </w:pPr>
          </w:p>
        </w:tc>
      </w:tr>
      <w:tr>
        <w:trPr>
          <w:trHeight w:val="216"/>
        </w:trPr>
        <w:tc>
          <w:tcPr>
            <w:tcW w:w="10040" w:type="dxa"/>
            <w:vAlign w:val="bottom"/>
          </w:tcPr>
          <w:p>
            <w:pPr>
              <w:ind w:left="360"/>
              <w:spacing w:after="0"/>
              <w:rPr>
                <w:sz w:val="20"/>
                <w:szCs w:val="20"/>
                <w:color w:val="auto"/>
              </w:rPr>
            </w:pPr>
            <w:r>
              <w:rPr>
                <w:rFonts w:ascii="Arial" w:cs="Arial" w:eastAsia="Arial" w:hAnsi="Arial"/>
                <w:sz w:val="18"/>
                <w:szCs w:val="18"/>
                <w:color w:val="auto"/>
              </w:rPr>
              <w:t>Other reserve</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deficit)/retained earnings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378,400</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Arial" w:cs="Arial" w:eastAsia="Arial" w:hAnsi="Arial"/>
                <w:sz w:val="18"/>
                <w:szCs w:val="18"/>
                <w:b w:val="1"/>
                <w:bCs w:val="1"/>
                <w:color w:val="auto"/>
              </w:rPr>
              <w:t>Equity attributable to the owners of the Company</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783,766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attributable to the non-controlling interests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(16,887)</w:t>
            </w:r>
          </w:p>
        </w:tc>
        <w:tc>
          <w:tcPr>
            <w:tcW w:w="0" w:type="dxa"/>
            <w:vAlign w:val="bottom"/>
          </w:tcPr>
          <w:p>
            <w:pPr>
              <w:spacing w:after="0"/>
              <w:rPr>
                <w:sz w:val="1"/>
                <w:szCs w:val="1"/>
                <w:color w:val="auto"/>
              </w:rPr>
            </w:pPr>
          </w:p>
        </w:tc>
      </w:tr>
      <w:tr>
        <w:trPr>
          <w:trHeight w:val="230"/>
        </w:trPr>
        <w:tc>
          <w:tcPr>
            <w:tcW w:w="1004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 and Indebtedness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768,334</w:t>
            </w:r>
          </w:p>
        </w:tc>
        <w:tc>
          <w:tcPr>
            <w:tcW w:w="0" w:type="dxa"/>
            <w:vAlign w:val="bottom"/>
          </w:tcPr>
          <w:p>
            <w:pPr>
              <w:spacing w:after="0"/>
              <w:rPr>
                <w:sz w:val="1"/>
                <w:szCs w:val="1"/>
                <w:color w:val="auto"/>
              </w:rPr>
            </w:pPr>
          </w:p>
        </w:tc>
      </w:tr>
      <w:tr>
        <w:trPr>
          <w:trHeight w:val="20"/>
        </w:trPr>
        <w:tc>
          <w:tcPr>
            <w:tcW w:w="10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6080" w:hanging="444"/>
        <w:spacing w:after="0" w:line="407" w:lineRule="auto"/>
        <w:tabs>
          <w:tab w:leader="none" w:pos="5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registration statement, including the following risk factors which we face and which are faced by our industry. Our business, financial condition or results of operations could be materially and adversely affected if any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i w:val="1"/>
          <w:iCs w:val="1"/>
          <w:color w:val="auto"/>
        </w:rPr>
        <w:t>these risks occurs. This registration statement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registration statement. See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Need for Additional Capital and Growth Strategy</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and have incurred significant operating losses since our inception. We may continue to incur significant operating losses for the foreseeable future.</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Investment in biotechnology product development, as well as medical device development, is highly speculative because it entails substantial upfront capital expenditures and significant risk that any potential product candidate will be unable to demonstrate effectiveness or an acceptable safety profile, gain regulatory approval and become commercially viable. To date, only two of our Founded Entities’ products, Gelesis, Inc.’s Plenity and Akili Interactive Labs, Inc.’s EndeavorRx, have received marketing clearance from the U.S. Food and Drug Administration, or the FDA. All of our Wholly Owned Programs and the majority of our Founded Entities’ product candidates may require substantial additional development time, including extensive clinical research, and resources before we would be able to apply for or receive regulatory clearances or approvals and begin generating revenue from product sales.</w:t>
      </w:r>
    </w:p>
    <w:p>
      <w:pPr>
        <w:spacing w:after="0" w:line="19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Since our inception, we have invested most of our resources in developing our technology and product candidates, building our intellectual property portfolio, developing our supply chain, conducting business planning, raising capital and providing general and administrative support for these operations, including with respect to our Founded Entities. We are not operationally profitable and have incurred losses in each year since our inception. Our operating losses for the years ended December 31, 2017, 2018, and 2019 and the six months ended June 30, 2020 were $115.4 million,</w:t>
      </w:r>
    </w:p>
    <w:p>
      <w:pPr>
        <w:spacing w:after="0" w:line="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$104.0 million, $135.4 million, and $52.8 million, respectively. We have no products developed in our Wholly Owned Programs approved for commercial sale and have not generated any revenues from product sales, and we and our Founded Entities have financed operations solely through the sale of equity securities, revenue from strategic alliances and government funding and, with respect to certain of our Founded Entities, debt financings. We continue to incur significant research and development, or R&amp;D, and other expenses related to ongoing operations and expect to incur losses for the foreseeable future. We anticipate continued losses for the foreseeable future.</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Due to risks and uncertainties associated with the development of drugs, biologics and medical devices, we are unable to predict the timing or amount of our expenses, or when we will be able to generate any meaningful revenue or achieve or maintain profitability, if ever. In addition, our expenses could increase beyond our current expectations if we are required by the FDA, the European Medicines Agency, or the EMA, or other comparable foreign regulatory authorities to perform preclinical studies or clinical trials in addition to those that we currently anticipate, or if there are any delays in any of our or our future collaborators’ clinical trials or the development of our existing product candidates and any other product candidates that we may identify. Even if our existing product candidates or any future product candidates that we may identify are approved for commercial sale, we anticipate incurring significant costs associated with commercializing any approved product and ongoing compliance efforts.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As of June 30, 2020, we had never generated revenue from our Wholly Owned Pipeline, and we may never be operationally profitable.</w:t>
      </w:r>
    </w:p>
    <w:p>
      <w:pPr>
        <w:spacing w:after="0" w:line="1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While Gelesis, Inc., or Gelesis, and Akili Interactive Labs, Inc., or Akili, have received marketing clearance for Plenity and EndeavorRx, respectively, from the FDA, we may never be able to develop or commercialize marketable products or achieve operational profitability. Revenue from the sale of any product candidate for which regulatory clearance or approval is obtained will be dependent, in part, upon the size of the markets in the territories for which we gain regulatory clearance or approval, the accepted price for the product, the ability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obtain reimbursement at any price and whether we own the commercial rights for that territory. Our growth strategy depends on our ability to generate revenue. In addition, if the number of addressable patients is not as anticipated, the indication or intended use cleared or approved by regulatory authorities is narrower than expected, or the reasonably accepted population for treatment is narrowed by competition, physician choice or treatment guidelines, we may not generate significant revenue from sales of such products, even if cleared or approved. Even if we are able to generate revenue from the sale of any approved products, we may not become operationally profitable and may need to obtain additional funding to continue operations. Even if we achieve operational profitability in the future, we may not be able to sustain profitability in subsequent periods.</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unable to achieve sustained profitability would depress the value of our company and could impair our ability to raise capital, expand our business, diversify our R&amp;D pipeline, market our Wholly Owned product candidates, if cleared or approved, and pursue or continue our operations. Our prior losses, combined with expected future losses, have had and may continue to have an adverse effect on our shareholders’ equity and working capital.</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require substantial additional funding to achieve our business goals. If we are unable to obtain this funding when needed and on acceptable terms, we could be forced to delay, limit or terminate certain of our product development efforts. Certain of our Founded Entities will similarly require substantial additional funding to achieve their business goals.</w:t>
      </w:r>
    </w:p>
    <w:p>
      <w:pPr>
        <w:spacing w:after="0" w:line="7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We are currently advancing a pipeline of four Wholly Owned product candidates, three of which are in preclinical development and one of which is conducting a Phase 1 clinical trial. Our Controlled Founded Entities are advancing nine product candidates, including one that is expected to enter a Phase 3 study and three that are in Phase 2 development. Our Non-Controlled Founded Entities are advancing 10 products and product candidates, including two that are expected to enter Phase 3/Pivotal studies and two FDA-cleared products. Developing biopharmaceutical products is expensive and time-consuming, and with respect to our Wholly Owned Programs, we expect to require substantial additional capital to conduct research, preclinical studies and clinical trials for our current and future programs, establish pilot scale and commercial scale manufacturing processes and facilities, seek regulatory clearances and approvals for our Wholly Owned product candidates and launch and commercialize any products for which we receive regulatory clearance or approval, including building our own commercial sales, marketing and distribution organization. With respect to our Founded Entities’ programs, we anticipate that we will continue to fund a small portion of development costs by strategically participating in such companies’ financings when doing so would be in the interests of our shareholders. The form of any such participation may include investment in public or private financings, collaboration and partnership arrangements and licensing arrangements, among others. Our management and strategic decision makers have not made decisions regarding the future allocation of certain of our resources among our Founded Entities, but evaluate the needs and opportunities with respect to each of these Founded Entities routinely and on a case-by-case basis. In connection with any collaboration agreements relating to our Wholly Owned Programs, we are also responsible for the payments to third parties of expenses that may include milestone payments, license maintenance fees and royalties, including in the case of certain of our agreements with academic institutions or other companies from whom intellectual property rights underlying their respective programs have been in-licensed or acquired. Because the outcome of any preclinical or clinical development and regulatory approval process is highly uncertain, we cannot reasonably estimate the actual amounts necessary to successfully complete the development, regulatory approval process and potential commercialization of our Wholly Owned product candidates and any future product candidates we may identify.</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June 30, 2020, we had cash, cash equivalents and short-term investments of $340.1 million. However, our operating plan may change as a result of many factors currently unknown to us, and we may need to seek additional funds sooner than planned, through public or private equity or debt financings, sales of assets or programs, other sources, such as strategic collaborations or license and development agreements, or a combination of these approaches. Even if we believe we have sufficient funds for our current or future operating plans, we may opportunistically seek additional capital if market conditions are favorable or if we have specific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strategic considerations. Our spending will vary based on new and ongoing product development and corporate activities. Any such additional fundraising efforts for us may divert our management from their day-to-day activities, which may adversely affect our ability to develop and commercialize product candidates that we may identify and pursue. Moreover, such financing may result in dilution to shareholders, imposition of debt covenants and repayment obligations, or other restrictions that may affect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funding requirements, both short-term and long-term, will depend on many factors, including, but not limited to:</w:t>
      </w:r>
    </w:p>
    <w:p>
      <w:pPr>
        <w:spacing w:after="0" w:line="131" w:lineRule="exact"/>
        <w:rPr>
          <w:sz w:val="20"/>
          <w:szCs w:val="20"/>
          <w:color w:val="auto"/>
        </w:rPr>
      </w:pPr>
    </w:p>
    <w:p>
      <w:pPr>
        <w:ind w:left="1080" w:right="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complete ongoing, planned and future unplanned clinical trials, including our planned Phase 2 trial in serious respiratory complications that persist following the resolution of COVID-19 and our proof-of-concept trial in breast cancer-related, upper limb secondary lymphedema for LYT-100, our anticipated Phase 1 clinical trial for LYT-200 and our anticipated first-in-human trial for LYT-300;</w:t>
      </w:r>
    </w:p>
    <w:p>
      <w:pPr>
        <w:spacing w:after="0" w:line="92"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foreign regulatory authorities;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scope and costs of our preclinical studies, clinical trials and other related activities for our ongoing and planned clinical trials, and potential future clinical trials;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obtaining clinical and commercial supplies of raw materials and drug products for our Wholly Owned product candidates, as applicable, and any other product candidates we may identify and develop;</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identify and negotiate acceptable terms for third-party supply and contract manufacturing agreements with contract manufacturing organizations, or CMOs;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Wholly Owned product candidates that receive marketing approval, including the costs and timing of establishing product sales, marketing, distribution and manufacturing capabilities, or entering into strategic collaborations with third parties to leverage or access these capabilities;</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sales and other revenues from our Wholly Owned product candidates, if approved, including the sales price and the availability of coverage and adequate third-party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cash requirements of our Founded Entities and our ability and willingness to provide them with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other products that may compete with one or more of our Wholly Owned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intellectual property rights, products, product candidates and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 as we expand R&amp;D and establish a commercial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maintaining, expanding and protecting our intellectual property portfolio;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 in the United Kingdom and the United States and maintaining listings on both the London Stock Exchange, or the LSE, and The Nasdaq Global Market, or Nasdaq.</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cannot be certain that additional funding will be available on acceptable terms, or at all. If adequate funds are not available to us on a timely basis, we may be required to delay, limit or terminate one or more research or development programs or the potential commercialization of any approved products or be unable to expand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operations or otherwise capitalize on business opportunities, as desired, which could materially affect our business, prospects, financial condition and results of operations.</w:t>
      </w:r>
    </w:p>
    <w:p>
      <w:pPr>
        <w:spacing w:after="0" w:line="27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current product candidates or to any future product candidates on unfavorable terms.</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Wholly Owned product candidates or royalties and other monetization events related to our Founded Entities, we expect to finance our future cash needs through a combination of public and private equity offerings, debt financings, strategic partnerships, sales of assets and alliances and licensing arrangements. We, and indirectly, our shareholders, may bear the cost of issuing and servicing any such securities and of entering into and maintaining any such strategic partnerships or other arrangements. Because any decision by us to issue debt or equity securities in the future will depend on market conditions and other factors beyond our control, we cannot predict or estimate the amount, timing or nature of any future financing transactions. To the extent that we or our Founded Entities raise additional capital through the sale of equity or convertible debt securities, your ownership interest will be diluted, and the terms may include liquidation or other preferences that adversely affect your rights as a shareholder. The incurrence of additional indebtedness would result in increased fixed payment obligations and could involve additional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or other rights on unfavorable terms.</w:t>
      </w:r>
    </w:p>
    <w:p>
      <w:pPr>
        <w:spacing w:after="0" w:line="184" w:lineRule="exact"/>
        <w:rPr>
          <w:sz w:val="20"/>
          <w:szCs w:val="20"/>
          <w:color w:val="auto"/>
        </w:rPr>
      </w:pPr>
    </w:p>
    <w:p>
      <w:pPr>
        <w:ind w:left="120" w:right="500"/>
        <w:spacing w:after="0" w:line="259" w:lineRule="auto"/>
        <w:rPr>
          <w:sz w:val="20"/>
          <w:szCs w:val="20"/>
          <w:color w:val="auto"/>
        </w:rPr>
      </w:pPr>
      <w:r>
        <w:rPr>
          <w:rFonts w:ascii="Arial" w:cs="Arial" w:eastAsia="Arial" w:hAnsi="Arial"/>
          <w:sz w:val="18"/>
          <w:szCs w:val="18"/>
          <w:color w:val="auto"/>
        </w:rPr>
        <w:t>In addition, if any of our Founded Entities raises funds through the issuance of equity securities, our shareholders’ indirect equity interest in such Founded Entity could be substantially diminished. If any of our Founded Entities raises additional funds through collaboration and licensing arrangements, it may be necessary to relinquish some rights to our technologies or these product candidates or grant licenses on terms that are not favorable to us.</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shareholders, cause us to incur debt or assume contingent liabilities and subject us to other risks.</w:t>
      </w:r>
    </w:p>
    <w:p>
      <w:pPr>
        <w:spacing w:after="0" w:line="62"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5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shareholders;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an acquisition or strategic partnership;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maintain our licenses and realize their benefits may harm our business.</w:t>
      </w:r>
    </w:p>
    <w:p>
      <w:pPr>
        <w:spacing w:after="0" w:line="117"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acquired and in-licensed certain of our technologies from third parties. We may in the future acquire, in-license or invest in additional technology that we believe would be beneficial to our business. We are subject to a number of risks associated with our acquisition, in-license or investment in technology, including the following:</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negotiating a proposed acquisition, in-license or investment in a timely manner and at a price or on terms and conditions favorable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successfully combining and integrating a potential acquisition into our existing business to fully realize the benefits of such acquisition;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regulatory reviews on a proposed acquisition, in-license or investment;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with respect to the proposed acquisition, in-license or investment.</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If we fail to properly evaluate potential acquisitions, in-licenses, investments or other transactions associated with the creation of new R&amp;D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Founded Entities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ability to realize value from our Founded Entities may be impacted if we reduce our ownership or otherwise cede control to other investors through contractual agreements or otherwise.</w:t>
      </w:r>
    </w:p>
    <w:p>
      <w:pPr>
        <w:spacing w:after="0" w:line="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do not have a majority interest in our Non-Controlled Founded Entities. Our interests may be further reduced as such companies raise capital from third-party investors. In addition, we may agree to contractual arrangements for the funding of further developments by one or more of our Founded Entities. As a result, with respect to our Non-Controlled Founded Entities, we may not be able to exercise control over the affairs of such Founded Entity, including that Founded Entity’s governance arrangements and access to management and financial information. We are also party to agreements with certain of our Founded Entities that contain provisions which could force us to exit from that Founded Entity at a time and/or price determined by other investor(s) (for example, by the exercise of drag-along rights). If we were forced to exit out of a Founded Entity, this could have a material adverse effect on our business, financial condition or results of operations and prospects. In addition, if the affairs of one or more Founded Entities in which we hold a minority stake were to be conducted in a manner detrimental to our interests or intentions, our business, reputation and prospects may be adversely affected.</w:t>
      </w:r>
    </w:p>
    <w:p>
      <w:pPr>
        <w:spacing w:after="0" w:line="196"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As certain of our Founded Entities have completed equity financings, they have entered into certain agreements with the investors participating in such financings, including us. We are party to voting agreements with Entrega, Inc., or Entrega, Sonde Health, Inc., or Sonde, and Vor Biopharma, Inc., or Vor, investors’ rights agreements with Akili, Karuna Therapeutics, Inc., or Karuna, Follica, Incorporated, or Follica, Vedanta Biosciences, Inc., or Vedanta, Entrega, Sonde and Vor, and a stockholders’ agreement with Gelesis, pursuant to which we are subject to certain restrictions on the transfer or sale of shares (e.g., pre-emptive rights or drag-along, tag-along rights or lock up agreements), and we may not be able freely to transfer our interest in such Founded Entities or procure the sale of the entire issued share capital of one of such Founded Entities, similar to other investors who are party to these agreements. In addition, many of our Founded Entities have employee share plans which further dilute our interest in such business. If the affairs of one or more of our Founded Entities were to be conducted in 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manner detrimental to our interests or intentions or if we were unable to realize our interest in a Founded Entity or suffer dilution of our shareholding, this could have a material adverse effect on our business, financial condition or results of operation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overall value may be dominated by a single or limited number of our Founded Entities.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 large proportion of our overall value may at any time reside in a small proportion of our Founded Entities. Accordingly, there is a risk that if one or more of the intellectual property or commercial rights relevant to a valuable business were impaired, this would have a material adverse impact on our overall value. Furthermore, a large proportion of our overall revenue may at any time be the subject of one, or a small number of, licensed technologies. Should the relevant licenses be terminated or expire this would be likely to have a material adverse effect on the revenue received by us. Any material adverse impact on the value of the business of a Founded Entity could, in the situations described above, or otherwise, have a material adverse effect on our business, financial condition, trading performance and/or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information about and limited control or influence over our Non-Controlled Founded Entities.</w:t>
      </w:r>
    </w:p>
    <w:p>
      <w:pPr>
        <w:spacing w:after="0" w:line="117"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While we maintain ownership of equity interests in our Non-Controlled Founded Entities, we do not maintain voting control or direct management and development efforts for these entities. Each of these entities are independently managed, and we do not control the clinical and regulatory development of these Non-Controlled Founded Entities’ product candidates. Any failure by our Non-Controlled Founded Entities to adhere to regulatory requirements, initiate preclinical studies and clinical trials on schedule or to obtain clearances or approvals for their product candidates could have an adverse effect on our business, financial condition, results of operation and prospects. The information included in this registration statement about our Non-Controlled Founded Entities is based on (i) our knowledge, which may in some cases be limited, (ii) information that is publicly available, including the public filings of SEC reporting companies, such as Karuna, (iii) information provided to us by our Non-Controlled Founded Entities. Where a date is provided, the information included in this registration statement about our Non-Controlled Founded Entities is as of that date and you should not assume that it is accurate as of any other date. As such, there may be developments at our Non-Controlled Founded Entities of which we are unaware that could have an adverse effect on our business, financial condition, results of operation and prospects.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Founded Entities are difficult to value given that many of their product candidates are in the development stage.</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Investments in early-stage companies, particularly privately held entities, are inherently difficult to value since sales, cash flow and tangible asset values are very limited, which makes the valuation highly dependent on expectations of future development, and any future significant revenues would only arise in the medium to longer terms and are uncertain. Equally, investments in companies just commencing the commercial stage are also difficult to value since sales, cash flow and tangible assets are limited, they have only commenced initial receipts of revenues and valuations are still dependent on expectations of future development. There can be no guarantee that our valuation of our Founded Entities will be considered to be correct in light of the early stage of development for many of these entities and their future performance. As a result, we may not realize the full value of our ownership in such Founded Entities which could adversely affect our business and results of operations. For example, on November 15, 2019, resTORbio, Inc., or resTORbio, announced that its lead product candidate, RTB101, did not meet its primary endpoint in its Phase 3 study and ceased further development leading to a decline in resTORbio’s stock price from $9.27 to $1.09 and our sale of 7,680,700 common shares of resTORbio. As a result of the foregoing, we recognized a total cash loss of approximately $10 million.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Certain of our and our Founded Entities’ products candidates represent novel therapeutic approaches and negative perception of any product candidate that we or they develop could adversely affect our ability to conduct our business, obtain regulatory approvals or identify alternate regulatory pathways to market for such product candidate.</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Certain of our and our Founded Entities’ products candidates are considered relatively new and novel therapeutic approaches. Our and their success will depend upon physicians who specialize in the treatment of diseases targeted by our and their product candidates, biologics or medical devices prescribing potential treatments that involve the use of our and their product candidates in lieu of, or in addition to, existing treatments with which they are more familiar and for which greater clinical data may be available. Access will also depend on consumer acceptance and adoption of products that are commercialized. In addition, responses by the U.S., state or foreign governments to negative public perception or ethical concerns may result in new legislation or regulations that could limit our or our Founded Entities’ ability to develop or commercialize any product candidates, obtain or maintain regulatory approval, identify alternate regulatory pathways to market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or our Founded Entities’ product candidates or demand for any products we or they may develop.</w:t>
      </w:r>
    </w:p>
    <w:p>
      <w:pPr>
        <w:spacing w:after="0" w:line="18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For example, in the United States and the European Union, no products to date have been approved specifically demonstrating an impact on the microbiome as part of their therapeutic effect. Vedanta is developing a pipeline of microbiome-derived modulators for immune and infectious disease. Microbiome therapies may not be successfully developed or commercialized or gain the acceptance of the public or the medical community. Additionally, adverse events, or AEs, in non-IND human clinical studies and clinical trials of Vedanta’s product candidates or in clinical trials of other companies developing similar products and the resulting publicity, as well as any other AEs in the field of the microbiome, could result in a decrease in demand for any product that Vedanta may develop. Finally, the FDA, the EMA or other comparable foreign regulatory authorities may lack experience in evaluating the safety and efficacy of product candidates based on microbiome therapeutics, which could result in a longer than expected regulatory review process, increase expected development costs and delay or prevent potential commercialization of product candidates.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the Clinical Development, Regulatory Review and Approval of our and our Founded Entities’ Product Candidates</w:t>
      </w:r>
    </w:p>
    <w:p>
      <w:pPr>
        <w:spacing w:after="0" w:line="133"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Our Wholly Owned Programs and most of our Founded Entities’ product candidates are in preclinical or clinical development, which is a lengthy and expensive process with uncertain outcomes and the potential for substantial delays. We cannot give any assurance that any of our and our Founded Entities’ product candidates will receive regulatory approval, which is necessary before they can be commercialized.</w:t>
      </w:r>
    </w:p>
    <w:p>
      <w:pPr>
        <w:spacing w:after="0" w:line="4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our or our Founded Entities’ product candidates, we or our Founded Entities must conduct extensive clinical trials to demonstrate the safety and efficacy of the product candidates in humans. To date, we have focused substantially all of our efforts and financial resources on identifying, acquiring, and developing product candidates, including conducting lead optimization, preclinical studies and clinical trials, and providing general and administrative support for these operations. To date, only two of our Founded Entities’ product candidates, Gelesis’ Plenity and Akili’s EndeavorRX, have received marketing clearance from the FDA, and we cannot be certain that any of our internal or our Founded Entities’ other product candidates will receive regulatory clearance or approval, the timing of such clearance or approval, if received, or that clinical trials will progress as planned. Our or our Founded Entities’ inability to successfully complete preclinical and clinical development could result in additional costs to us and negatively impact our ability to generate revenue. Our future success is dependent on our and our Founded Entities’ ability to successfully develop, obtain regulatory approval for, and then successfully commercialize product candidates. We and our Founded Entities, with the exceptions of Gelesis and Akili, currently have no drugs approved or devices cleared or approved for sale and have not generated any revenue from sales of drugs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or devices. We cannot guarantee that we or our Founded Entities will be able in the future to develop or successfully commercialize any of our or their product candidates. Additionally, there is no FDA approved live biological therapeutic using a defined cocktail of microbes, which could result in regulatory complexity in Vedanta’s pipeline. There is also no approved drug therapy for lymphedema, which will require us to come to an agreement with the FDA on requirements for approval.</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Other than Gelesis’ Plenity and Akili’s EndeavorRx, all of our Wholly Owned Programs and our Founded Entities’ product candidates require additional development; management of preclinical, clinical, and manufacturing activities; and/or regulatory clearances or approvals. In addition, we or our Founded Entities may need to obtain adequate manufacturing supply; build a commercial organization; commence marketing efforts; and obtain coverage and reimbursement before we generate any significant revenue from commercial product sales, if ever. Many of our Wholly Owned Programs and our Founded Entities’ product candidates are in early-stage research or translational phases of development, and the risk of failure for these programs is high. We cannot be certain that any of our Wholly Owned Programs or our Founded Entities’ product candidates will be successful in clinical trials or receive regulatory approval or clearance. Further, our Wholly Owned Programs or our Founded Entities’ product candidates may not receive regulatory clearance or approval even if we believe they are successful in clinical trials. If we or our Founded Entities do not receive regulatory approval for our or their product candidates, we may not be able to continue operations, which may result in dissolution, out-licensing the technology or pursuing an alternative strategy.</w:t>
      </w:r>
    </w:p>
    <w:p>
      <w:pPr>
        <w:spacing w:after="0" w:line="29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All but one of our Wholly Owned product candidates, LYT-100, are still in the preclinical stage, and their risk of failure is high. Before we can commence clinical trials for a product candidate, we must complete extensive preclinical testing and studies that support our planned investigational new drug applications, or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the EMA or other regulatory authorities allowing clinical trials to begin.</w:t>
      </w:r>
    </w:p>
    <w:p>
      <w:pPr>
        <w:spacing w:after="0" w:line="27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Clinical trials of our or our Founded Entities’ product candidates may be delayed, and certain programs may never advance in the clinic or may be more costly to conduct than we anticipate, any of which can affect our ability to fund our company and would have a material adverse impact on our platform or our business.</w:t>
      </w:r>
    </w:p>
    <w:p>
      <w:pPr>
        <w:spacing w:after="0" w:line="76"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Clinical testing is expensive, time-consuming, and subject to uncertainty. We cannot guarantee that any of our planned clinical trials will be conducted as planned or completed on schedule, if at all. Moreover, even if these trials are initiated or conducted on a timely basis, issues may arise that could result in the suspension or termination of such clinical trials. A failure of one or more clinical trials can occur at any stage of testing, and our clinical trials may not be successful. Events that may prevent successful or timely initiation or completion of clinical trials include:</w:t>
      </w:r>
    </w:p>
    <w:p>
      <w:pPr>
        <w:spacing w:after="0" w:line="63" w:lineRule="exact"/>
        <w:rPr>
          <w:sz w:val="20"/>
          <w:szCs w:val="20"/>
          <w:color w:val="auto"/>
        </w:rPr>
      </w:pPr>
    </w:p>
    <w:p>
      <w:pPr>
        <w:ind w:left="1080" w:right="3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confirming target engagement, patient selection or other relevant biomarkers to be utilized in preclinical and clinical product candidate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as to the design or implementation of our clinical studies;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clinical trial application, or CTA, or amendment, investigational device exemption, or IDE, or supplement, or equivalent application or amendment; as a result of a new safety finding that presents unreasonable risk to clinical trial participants; or a negative finding from an inspection of our clinical trial operations or study sites;</w:t>
      </w:r>
    </w:p>
    <w:p>
      <w:pPr>
        <w:spacing w:after="0" w:line="92"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trials for other product candidates with the same targets or related modalities as our or our Founded Entities’ product candidates conducted by competitors that raise regulatory or safety concerns about risk to patients of the treatment, or if the FDA finds that the investigational protocol or plan is clearly deficient to meet its stated objectives;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securing access to materials for the comparator arm of certain of our clinical trials;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clinical trials, and delays caused by patients withdrawing from clinical trials or failing to return for post-treatment follow-up;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finding a sufficient number of trial sites, or trial sites deviating from trial protocol or dropping out of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requirements;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GCP, requirements, or regulatory guidelines in other countries;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AEs or undesirable side effects or other unexpected characteristics associated with the product candidate that are viewed to outweigh its potential benefits;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that we may identify and pursue being greater than we anticipate;</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trials of any product candidates that we may identify and pursue producing negative or inconclusive results, which may result in our deciding, or regulators requiring us, to conduct additional clinical trials or abandon product development programs;</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or by us, and delays or failures by our CMOs or us to make any necessary changes to such manufacturing process;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product candidates that we may identify for use in clinical trials or the inability to do any of the foregoing.</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Wholly Owned product candidates, we may be required to or we may elect to conduct additional preclinical studies or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to bridge data obtained from our modified product candidates to data obtained from preclinical and clinical research conducted using earlier versions.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could also encounter delays if a clinical trial is suspended or terminated by us, by the data safety monitoring board, or DSMB, or by the FDA, the EMA or other comparable foreign regulatory authorities,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the EMA or other comparable foreign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comparable foreign regulatory authorities. The FDA, the EMA or comparable foreign regulatory authority may conclude that a financial relationship between us and a principal investigator has created a conflict of interest or otherwise affected interpretation of the study. The FDA, the EMA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comparable foreign regulatory authority, as the case may be, and may ultimately lead to the denial of marketing approval of one or more of our Wholly Owned or our Founded Entities’ product candidates.</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Delays in the initiation, conduct or completion of any clinical trial of our Wholly Owned product candidates will increase our costs, slow down the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Wholly Owned or our Founded Entities’ product candidates. In the event we identify any additional product candidates to pursue, we cannot be sure that submission of an IDE, IND, CTA, or equivalent application, as applicable, will result in the FDA, the EMA or comparable foreign regulatory authority allowing clinical trials to begin in a timely manner, if at all. Any of these events could have a material adverse effect on our business, prospects, financial condition and results of operations.</w:t>
      </w:r>
    </w:p>
    <w:p>
      <w:pPr>
        <w:spacing w:after="0" w:line="28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clinical trials may fail to demonstrate substantial evidence of the safety and effectiveness of product candidates that we may identify and pursue for their intended uses, which would prevent, delay or limit the scope of regulatory approval and potential commercialization.</w:t>
      </w:r>
    </w:p>
    <w:p>
      <w:pPr>
        <w:spacing w:after="0" w:line="16"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Before obtaining regulatory approvals for the commercial sale of any of our drug or biological product candidates, we must demonstrate through lengthy, complex and expensive preclinical studies and clinical trials that the applicable product candidate is both safe and effective for use in each target indication, and in the case of our Wholly Owned and Founded Entities’ product candidates regulated as biological products, that the product candidate is safe, pure, and potent for use in its targeted indication. Each product candidate must demonstrate an adequate risk versus benefit profile in its intended patient population and for its intended use. Similarly, before obtaining regulatory clearances or approvals for the commercial sale of any of the device product candidates of our Founded Entities, our Founded Entities may be required to demonstrate through lengthy, complex and expensive preclinical studies and clinical trials that the applicable product candidate meets the regulatory standard of clearance or approval—for example, substantial equivalence or a reasonable assurance of safety or effectiveness, as applicable—for its intended use.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design and execute a clinical trial to support marketing approval.</w:t>
      </w:r>
    </w:p>
    <w:p>
      <w:pPr>
        <w:spacing w:after="0" w:line="184"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cannot be certain that our clinical trials will be successful. Additionally, any safety concerns observed in any one of our clinical trials in our targeted indications could limit the prospects for regulatory clearances or approval of our product candidates in those and other indications, which could have a material adverse effect on our business, financial condition and results of operations. In addition, even if such clinical trials are successfully completed, we cannot guarantee that the FDA, the EMA or comparable foreign regulatory authorities will interpret the results as we do, and more trials could be required before we submit our product candidates for clearance or approval. For example, the definition of clinical meaningfulness for outcome measures in lymphedema has not been firmly established by the FDA, introducing risk in evaluating and demonstrating the efficacy required to obtain FDA approval of LYT-100. As another example, while there is guidance regarding clinical meaningfulness for outcome measures in the context of acute COVID-19 treatments and potential vaccines, there is no such guidance for treatment of complications that persist following the resolution of COVID-19. Even if we believe that our and our Founded Entities’ clinical trials and preclinical studies demonstrate the safety and efficacy of our and their product candidates, only the FDA and other comparable regulatory agencies may ultimately make such determination. No regulatory agency has made any such determination that any of our Wholly Owned product candidates or those of our Founded Entities, except for Plenity and EndeavorRx, are safe or effective for use by the general public for any indication.</w:t>
      </w:r>
    </w:p>
    <w:p>
      <w:pPr>
        <w:spacing w:after="0" w:line="16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Additionally, we may utilize an “open-label” trial design for some of our future clinical trials. An open-label trial is one where both the patient and investigator know whether the patient is receiving the test article or either an existing approved drug or placebo. Open-label trials are subject to various limitations that may exaggerate any therapeutic effect as patients in open-label studies are aware that they are receiving treatment. Open-label trials may be subject to a “patient bias” where patients perceive their symptoms to have improved merely due to their awareness of receiving an experimental treatment. Patients selected for early clinical studies often include the most severe sufferers and their symptoms may have been bound to improve notwithstanding the new treatment. In addition, open-label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opportunity for bias in clinical trials as a result of open-label design may not be adequately handled and may cause any of our trials that utilize such design to fail or to be considered inadequate and additional trials may be necessary to support future marketing applications. Moreover, results acceptable to support clearance or approval in one jurisdiction may be deemed inadequate by another regulatory authority to support regulatory clearance or approval in that other jurisdiction. To the extent that the results of the trials are not satisfactory to the FDA, the EMA or comparable foreign regulatory authorities for support of a marketing application, we may be required to expend significant resources, which may not be available to us, to conduct additional trials in support of potential clearance or approval of our Wholly Owned product candidates. Even if regulatory clearance or approval is secured for a product candidate, the terms of such approval may limit the scope and use of the specific product candidate, which may also limit its commercial potential.</w:t>
      </w:r>
    </w:p>
    <w:p>
      <w:pPr>
        <w:spacing w:after="0" w:line="29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The results of early-stage clinical trials and preclinical studies may not be predictive of future results. Initial data in clinical trials may not be indicative of results obtained when these trials are completed or in later stage trials.</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product candidates performed satisfactorily in preclinical studies and clinical trials have nonetheless failed to obtain marketing approval. A number of companies in the pharmaceutical, biopharmaceutical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Even if early-stage clinical trials are successful, we may need to conduct additional clinical trials of our Wholly Owned product candidates in additional patient populations or under different treatment conditions before we are able to seek approvals or clearances from the FDA, the EMA or other comparable foreign regulatory authorities to market and sell these product candidates. Our failure to obtain marketing authorization for our Wholly Owned product candidates would substantially harm our business, prospects,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encounter difficulties enrolling patients in clinical trials, our clinical development activities could be delayed or otherwise adversely affected.</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Identifying and qualifying trial participants to participate in clinical studies is critical to our success. The timing of our clinical studies depends on the speed at which we can recruit trial participants to participate in testing our Wholly Owned product candidates. Delays in enrollment may result in increased costs or may affect the timing or outcome of the planned clinical trials, which could prevent completion of these trials and adversely affect our ability to advance the development of our Wholly Owned product candidates. If trial participants are unwilling to participate in our studies because of negative publicity from AEs in our trials or other trials of similar products, or those related to specific therapeutic area, or for other reasons, including competitive clinical studies for similar patient populations, the timeline for recruiting trial participants, conducting studies, and obtaining regulatory approval of potential products may be delayed. We also may face delays as a result of unforeseen global circumstances, for example we have experienced temporary delays in certain of our clinical development activities, including enrolling participants in certain of our clinical trials, as a result of the COVID-19 pandemic. Any delays could result in increased costs, delays in advancing our product candidate development, delays in testing the effectiveness of our Wholly Owned product candidates, or termination of the clinical studies altogether.</w:t>
      </w:r>
    </w:p>
    <w:p>
      <w:pPr>
        <w:spacing w:after="0" w:line="185"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We may not be able to identify, recruit and enroll a sufficient number of trial participants, or those with required or desired characteristics to achieve diversity in a study, to complete our clinical studies in a timely manner. Patient and subject enrollment is affected by factors including:</w:t>
      </w:r>
    </w:p>
    <w:p>
      <w:pPr>
        <w:spacing w:after="0" w:line="5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a patient population;</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eligibility criteria defined in the applicable clinical trial protocols, which may limit the patient populations eligible for clinical trials to a greater extent than competing clinical trials for the same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inclusion and exclusion criteria for the trial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or therapies for the disease or condition under investigation;</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Furthermore, our or our collaborators’ ability to successfully initiate, enroll and conduct a clinical trial outside the United States is subject to numerous additional risks, including:</w:t>
      </w:r>
    </w:p>
    <w:p>
      <w:pPr>
        <w:spacing w:after="0" w:line="9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standards of care for patients with a particular disease;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locate qualified local consultants, physicians and partners;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we have difficulty enrolling sufficient numbers of patients to conduct clinical trials as planned, we may need to delay or terminate clinical trials, either of which would have an adverse effect on our business.</w:t>
      </w:r>
    </w:p>
    <w:p>
      <w:pPr>
        <w:spacing w:after="0" w:line="27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b w:val="1"/>
          <w:bCs w:val="1"/>
          <w:i w:val="1"/>
          <w:iCs w:val="1"/>
          <w:color w:val="auto"/>
        </w:rPr>
        <w:t>Use of our Wholly Owned product candidates or those being developed by our Founded Entities could be associated with side effects, AEs or other properties or safety risks, which could delay or halt their clinical development, prevent their regulatory clearance or approval, cause us to suspend or discontinue clinical trials, abandon a product candidate, limit their commercial potential, if cleared or approved, or result in other significant negative consequences that could severely harm our business, prospects, operating results and financial condition.</w:t>
      </w:r>
    </w:p>
    <w:p>
      <w:pPr>
        <w:spacing w:after="0" w:line="4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As is the case with pharmaceuticals generally, it is likely that there may be side effects and AEs associated with our and our Founded Entities’ drugs or biologic product candidates’ use. Similarly, investigational devices may also be subject to side effects and AEs. Results of our clinical trials or those being conducted by Founded Entities could reveal a high and unacceptable severity and prevalence of side effects or unexpected characteristics. Undesirable side effects caused by these product candidates could cause us, our Founded Entities or regulatory authorities to interrupt, delay or halt clinical trials and could result in a more restrictive label or the delay or denial of regulatory clearance or approval by the FDA, the EMA or other comparable foreign regulatory authorities. The side effects related to the product candidate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Moreover, if our Wholly Owned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or terminate our study plans based on findings in our preclinical studies or clinical trials. Many product candidates that initially show promise in early-stage testing may later be found to cause side effects that prevent further development. As we work to advance existing product candidates and to identify new product candidates, we cannot be certain that later testing or trials of product candidates that initially showed promise in early testing will not be found to cause similar or different unacceptable side effects that prevent their further development.</w:t>
      </w:r>
    </w:p>
    <w:p>
      <w:pPr>
        <w:spacing w:after="0" w:line="178"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It is possible that as we test our Wholly Owned product candidates in larger, longer and more extensive clinical trials, or as the use of these product candidates becomes more widespread if they receive regulatory clearance or approval, illnesses, injuries, discomforts and other AEs that were observed in earlier trials, as well as conditions that did not occur or went undetected in previous trials, will be reported by subjects. If such side effects become known later in development or upon approval, if any, such findings may harm our business, financial condition and prospects significantly.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Additionally, adverse developments in clinical trials of pharmaceutical, biopharmaceutical or biotechnology products conducted by others may cause the FDA or other regulatory oversight bodies to suspend or terminate our clinical trials or to change the requirements for approval of any of our Wholly Owned product candidates.</w:t>
      </w:r>
    </w:p>
    <w:p>
      <w:pPr>
        <w:spacing w:after="0" w:line="184"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AEs occur, our clinical trials could be suspended or terminated. If we are unable to demonstrate that any AEs were caused by the administration process or related procedures, the FDA, the European Commission, the EMA, or other regulatory authorities could order us to cease further development of, or deny clearance or approval of, a product candidate for any or all targeted indications. Even if we can demonstrate that all future serious adverse events, or SAEs, are not product-related, such occurrences could affect patient recruitment or the ability of enrolled patients to complete the trial. Moreover, if we elect, or are required, to not initiate, delay, suspend or terminate any future clinical trial of any of our Wholly Owned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Additionally, if any of our Wholly Owned product candidates receives marketing authorization, the FDA could impose contraindications or a boxed warning in the labeling of our product. For any of our drug or biologic product candidates receiving marketing authorization, the FDA could require us to adopt a risk evaluation and mitigation strategy, or REMS, and could apply elements to assure safe use to ensure that the benefits of the product outweigh its risks, which may include, among other things, a Medication Guide outlining the risks of the product for distribution to patients and a communication plan to health care practitioners. Furthermore, if we or others later identify undesirable side effects caused by our Wholly Owned product candidates once approved, several potentially significant negative consequences could result, including:</w:t>
      </w:r>
    </w:p>
    <w:p>
      <w:pPr>
        <w:spacing w:after="0" w:line="83" w:lineRule="exact"/>
        <w:rPr>
          <w:sz w:val="20"/>
          <w:szCs w:val="20"/>
          <w:color w:val="auto"/>
        </w:rPr>
      </w:pPr>
    </w:p>
    <w:p>
      <w:pPr>
        <w:ind w:left="1080" w:right="4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 or seek an injunction against its manufacture or distribution;</w:t>
      </w:r>
    </w:p>
    <w:p>
      <w:pPr>
        <w:spacing w:after="0" w:line="75" w:lineRule="exact"/>
        <w:rPr>
          <w:rFonts w:ascii="Arial" w:cs="Arial" w:eastAsia="Arial" w:hAnsi="Arial"/>
          <w:sz w:val="18"/>
          <w:szCs w:val="18"/>
          <w:color w:val="auto"/>
        </w:rPr>
      </w:pPr>
    </w:p>
    <w:p>
      <w:pPr>
        <w:ind w:left="1080" w:right="3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including “boxed” warnings, or issue safety alerts, Deal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by the FDA to implement a REMS for a marketed drug or biologic;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of these occurrences could prevent us from achieving or maintaining market acceptance of the particular product candidate, if approved, and may harm our business, financial condition and prospects significantly.</w:t>
      </w:r>
    </w:p>
    <w:p>
      <w:pPr>
        <w:spacing w:after="0" w:line="278"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potential commercialization of product candidates.</w:t>
      </w:r>
    </w:p>
    <w:p>
      <w:pPr>
        <w:spacing w:after="0" w:line="38"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Any product candidate we may develop and the activities associated with their development and potential commercialization, including their design, testing, manufacture, safety, efficacy, recordkeeping, labeling, storage, approval, advertising, promotion, sale and distribution, are subject to comprehensive regulation by the FDA, the EMA and other comparable foreign regulatory authorities. Failure to obtain marketing authorization for a product candidate will prevent us from commercializing the product candidate in a given jurisdiction. For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example, although Gelesis and Akili have received marketing clearance for Plenity and EndeavorRX, respectively, from the FDA, we and our Founded Entities have not received clearance or approval to market any of our or their other product candidates from regulatory authorities in any jurisdiction and it is possible that none of the other product candidates we and our Founded Entities may seek to develop in the future will ever obtain regulatory approval. We have no experience in filing and supporting the applications necessary to gain marketing authorizations and expect to rely on third-party CROs or regulatory consultants to assist us in this process. Securing regulatory clearance or approval requires the submission of extensive preclinical and clinical data and supporting information to the various regulatory authorities for each therapeutic indication to establish the product candidate’s safety, purity, efficacy and potency. Securing regulatory clearance or approval also requires the submission of information about the product manufacturing process to, and inspection of manufacturing facilities by, the relevant regulatory authority. Any product candidates we or our Founded Entities develop may not be effective, may be only moderately effective, or may prove to have undesirable or unintended side effects, toxicities or other characteristics that may preclude our obtaining marketing clearance or approval or prevent or limit commercial use, if cleared or approved.</w:t>
      </w:r>
    </w:p>
    <w:p>
      <w:pPr>
        <w:spacing w:after="0" w:line="168"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The process of obtaining marketing authorizations,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authorization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If we experience delays in obtaining clearance or approval or if we fail to obtain clearance or approval of any product candidates we may develop, the commercial prospects for those product candidates may be harmed, and our ability to generate revenues will be materially impaired.</w:t>
      </w: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Even if any current or future product candidate of ours receives regulatory clearance or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7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have never commercialized a product, and even if any current or future product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products or they are required to switch due to lack of coverage and adequate reimbursement. In addition, even if we are able to demonstrate our Wholly Owned product candidates’ safety and efficacy to the FDA and other regulators, safety or efficacy concerns in the medical community may hinder market acceptance.</w:t>
      </w:r>
    </w:p>
    <w:p>
      <w:pPr>
        <w:spacing w:after="0" w:line="195"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Efforts to educate the medical community and third-party payors on the benefits of our Wholly Owned product candidates may require significant resources, including management time and financial resources, and may not be successful. The degree of market acceptance of our Wholly Owned product candidates, if approved for commercial sale, will depend on a number of factors, including:</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30" w:lineRule="exact"/>
        <w:rPr>
          <w:rFonts w:ascii="Arial" w:cs="Arial" w:eastAsia="Arial" w:hAnsi="Arial"/>
          <w:sz w:val="18"/>
          <w:szCs w:val="18"/>
          <w:color w:val="auto"/>
        </w:rPr>
      </w:pPr>
    </w:p>
    <w:p>
      <w:pPr>
        <w:ind w:left="5540" w:right="4660" w:hanging="4884"/>
        <w:spacing w:after="0" w:line="535" w:lineRule="auto"/>
        <w:tabs>
          <w:tab w:leader="none" w:pos="10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advantages of the product compared to competitive therapies; 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availability and adequacy of coverage and reimbursement from government payors, managed care plans and other third-party payors.</w:t>
      </w:r>
    </w:p>
    <w:p>
      <w:pPr>
        <w:spacing w:after="0" w:line="24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candidates we develop do not achieve an adequate level of acceptance, we may not generate significant product revenue, and we may not become profitable.</w:t>
      </w:r>
    </w:p>
    <w:p>
      <w:pPr>
        <w:spacing w:after="0" w:line="195"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Any failure by any current or future product candidate of ours that obtains regulatory approval to achieve market acceptance or commercial success would adversely affect our business prospects. In addition, any negative perception of one of our Founded Entities or any product candidates marketed or commercialized by them may adversely affect our reputation in the marketplace or among industry participants and our business prospects.</w:t>
      </w:r>
    </w:p>
    <w:p>
      <w:pPr>
        <w:spacing w:after="0" w:line="2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have conducted, and may continue to conduct in the future, clinical trials for product candidates outside the United States, and the FDA, the EMA and comparable foreign regulatory authorities may not accept data from such trials.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conducted clinical trials outside of the United States in the past, and may in the future choose to conduct one or more clinical trials outside the United States, including in Europe. For example, we have conducted clinical trials for LYT-100 in Australia and currently plan to conduct future clinical trials for LYT-100 in additional locations outside the United States, including without limitation Australia, Romania, Spain and the Phillipines. The acceptance of study data from clinical trials conducted outside the United States or another jurisdiction by the FDA, the EMA or any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if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the EMA or any comparable foreign regulatory authority will accept data from trials conducted outside of the United States or the applicable jurisdiction. If the FDA, the EMA or any comparable foreign regulatory authority does not accept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spacing w:after="0" w:line="23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we are unable to obtain regulatory clearance or approval in one or more jurisdictions for any product candidates that we may identify and develop, our business could be substantially harmed.</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cannot commercialize a product until the appropriate regulatory authorities have reviewed and cleared or approved the product candidate. Approval by the FDA, the EMA and comparable foreign regulatory authorities is lengthy and unpredictable, and depends upon numerous factors, including substantial discretion of the regulatory authorities. Approval policies, regulations, or the type and amount of preclinical or clinical data necessary to gain approval may change during the course of a product candidate’s development and may vary among jurisdictions, which may cause delays in the approval or the decision not to approve an application. Gelesis and Akili have obtained marketing clearance from the FDA for Plenity and EndeavorRx, respectively, but we and our Founded Entities have not obtained regulatory clearance or approval for any other product candidates, and it is possible that our current product candidates and any other product candidates which we and our Founded Entities may seek to develop in the future will not ever obtain regulatory clearance or approval. We cannot be certain that any of our Wholly Owned or our Founded Entities’ product candidates will receive regulatory clearance or approval or be successfully commercialized even if we or our Founded Entities receive regulatory clearance or approval.</w:t>
      </w:r>
    </w:p>
    <w:p>
      <w:pPr>
        <w:spacing w:after="0" w:line="16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Obtaining marketing approval is an extensive, lengthy, expensive and inherently uncertain process, and regulatory authorities may delay, limit or deny clearance or approval of our Wholly Owned or our Founded Entities’ product candidates for many reasons, including but not limited to:</w:t>
      </w:r>
    </w:p>
    <w:p>
      <w:pPr>
        <w:spacing w:after="0" w:line="52" w:lineRule="exact"/>
        <w:rPr>
          <w:sz w:val="20"/>
          <w:szCs w:val="20"/>
          <w:color w:val="auto"/>
        </w:rPr>
      </w:pPr>
    </w:p>
    <w:p>
      <w:pPr>
        <w:ind w:left="1080" w:right="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the EMA or comparable foreign regulatory authorities that the applicable product candidate is safe and effective as a treatment for our targeted indications or otherwise meets the applicable regulatory standards for approval;</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endpoints or implementation of our or our Founded Entities’ clinical trials;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or efficacy in the full population for which we or our Founded Entities seek approval;</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require additional preclinical studies or clinical trials beyond those that we or our Founded Entities currently anticipate;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or our Founded Entities’ interpretation of data from preclinical studies or clinical trials;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data collected from clinical trials of product candidates that we may identify and pursue may not be sufficient to support the submission of an NDA, biologics license application, or BLA, or other submission for regulatory approval in the United States or elsewhere;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applicable, we or our Founded Entities may be unable to demonstrate to the FDA, the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identify deficiencies in the manufacturing processes, test procedures and specifications, or facilities of third-party manufacturers with which we or our Founded Entities contract for clinical and commercial supplies; and</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clearance or approval policies or regulations of the FDA, the EMA or comparable foreign regulatory authorities may change in a manner that renders the clinical trial design or data insufficient for clearance or approval.</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lengthy approval process, as well as the unpredictability of the results of clinical trials and evolving regulatory requirements, may result in our or our Founded Entities’ failure to obtain regulatory approval to market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candidates that we or our Founded Entities may pursue in the United States or elsewhere, which would significantly harm our or our Founded Entities’ business, prospects, financial condition and results of operations.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Furthermore, clearance or approval by the FDA in the United States, if obtained, does not ensure approval by regulatory authorities in other countries or jurisdictions. In order to market any products outside of the United States, we or our Founded Entities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Seeking foreign regulatory approval could result in difficulties and costs for us or our Founded Entities and require additional preclinical studies or clinical trials which could be costly and time-consuming. Regulatory requirements can vary widely from country to country and could delay or prevent the introduction of our or our Founded Entities’ products in those countries. The foreign regulatory approval process involves all of the risks associated with FDA approval. We do not have any product candidates approved for sale in international markets. If we or our Founded Entities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27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w:t>
      </w:r>
    </w:p>
    <w:p>
      <w:pPr>
        <w:spacing w:after="0" w:line="19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w:t>
      </w:r>
    </w:p>
    <w:p>
      <w:pPr>
        <w:spacing w:after="0" w:line="303" w:lineRule="exact"/>
        <w:rPr>
          <w:sz w:val="20"/>
          <w:szCs w:val="20"/>
          <w:color w:val="auto"/>
        </w:rPr>
      </w:pPr>
    </w:p>
    <w:p>
      <w:pPr>
        <w:ind w:left="120" w:right="500"/>
        <w:spacing w:after="0" w:line="375" w:lineRule="auto"/>
        <w:rPr>
          <w:sz w:val="20"/>
          <w:szCs w:val="20"/>
          <w:color w:val="auto"/>
        </w:rPr>
      </w:pPr>
      <w:r>
        <w:rPr>
          <w:rFonts w:ascii="Arial" w:cs="Arial" w:eastAsia="Arial" w:hAnsi="Arial"/>
          <w:sz w:val="15"/>
          <w:szCs w:val="15"/>
          <w:b w:val="1"/>
          <w:bCs w:val="1"/>
          <w:i w:val="1"/>
          <w:iCs w:val="1"/>
          <w:color w:val="auto"/>
        </w:rPr>
        <w:t>Certain of the product candidates being developed by us or our Founded Entities are novel, complex and difficult to manufacture. We could experience manufacturing problems that result in delays in our development or commercialization programs or otherwise harm our business.</w:t>
      </w:r>
    </w:p>
    <w:p>
      <w:pPr>
        <w:spacing w:after="0" w:line="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manufacturing processes our CMOs use to produce our and our Founded Entities’ product candidates are complex and in certain cases novel. Several factors could cause production interruptions, including inability to develop novel manufacturing processes, equipment malfunctions, facility contamination, raw material shortages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or contamination, natural disasters, disruption in utility services, human error or disruptions in the operations of our suppliers, including acquisition of the supplier by a third party or declaration of bankruptcy. For example, Vedanta has its own proprietary GMP manufacturing facilities for certain product candidates, including VE303, VE800 and VE416. Creating defined consortia of live microbial therapeutics for these product candidates is inherently complex, and therefore can be vulnerable to delays. The expertise required to manufacture these product candidates is unique to Vedanta, and as a result, it would be difficult and time consuming to find an alternative CMO. In addition, manufacturing of clinical supply for LYT-100, LYT-200, and LYT-300 are dependent on third party CMOs, and manufacturing such product candidates is inherently complex. As another example, we are advancing LYT-100 for potential treatment of complications that persist following the resolution of COVID-19 infection. COVID-19 has been widespread, and any approved treatments related to COVID-19 could face issues manufacturing sufficient quantities to meet demand.</w:t>
      </w:r>
    </w:p>
    <w:p>
      <w:pPr>
        <w:spacing w:after="0" w:line="17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Some of our and our Founded Entities’ product candidates include biologics, some of which have physical and chemical properties that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or our Founded Entities may encounter problems achieving adequate quantities and quality of clinical-grade materials that meet the FDA, the EMA or other applicable standards or specifications with consistent and acceptable production yields and costs.</w:t>
      </w:r>
    </w:p>
    <w:p>
      <w:pPr>
        <w:spacing w:after="0" w:line="178"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addition, the FDA, the EMA and other foreign regulatory authorities may require us or our Founded Entities to submit samples of any lot of any approved product together with the protocols showing the results of applicable tests at any time. Under some circumstances, the FDA, the EMA or other foreign regulatory authorities may require that we or our Founded Entities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or our Founded Entities to delay product launches or clinical trials, which could be costly to us and otherwise harm our business, financial condition, results of operations and prospects.</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spacing w:after="0" w:line="184"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our clinical drug supplies for use in the conduct of our clinical trials, and we lack the resources and the capability to manufacture our Wholly Owned product candidates on a clinical or commercial scale. Instead, we rely on our third-party manufacturing partners for the production of the active pharmaceutical ingredient, or API, and drug formulation. The facilities used by our third-party manufacturers to manufacture our product candidates that we may develop must be successfully inspected by the applicable regulatory authorities, including the FDA, after we submit our NDA to the FDA.</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are currently completely dependent on our third-party manufacturers for the production of LYT-100 and LYT-200 in accordance with cGMPs, which include, among other things, quality control, quality assurance and the maintenance of records and documentation.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Although we have entered into agreements for the manufacture of clinical supplies of LYT-100 and LYT-200, our third-party manufacturers may not perform as agreed, may be unable to comply with these cGMP requirements and with FDA, state and foreign regulatory requirements or may terminate its agreement with us. If any of our third-party manufacturers cannot successfully manufacture material that conforms to our specifications and the applicable regulatory authorities’ strict regulatory requirements, or pass regulatory inspection, our NDA will not be approved. In addition, although we are ultimately responsible for ensuring product quality, we have no direct day-to-day control over our third-party manufacturers’ ability to maintain adequate quality control, quality assurance and qualified personnel. If our third-party manufacturers are unable to satisfy the regulatory requirements for the manufacture of our products, or if our suppliers or third-party manufacturers decide they no longer want to manufacture our products, we may need to find alternative manufacturing facilities, which would be time-consuming and significantly impact our ability to develop, obtain regulatory approval for or market our products. We might be unable to identify manufacturers for long-term clinical and commercial supply on acceptable terms or at all. Manufacturers are subject to ongoing periodic announced and unannounced inspection by the FDA and other governmental authorities to ensure compliance with government regulations. Currently, our contract manufacturer for the API for LYT-100 is located outside the United States and the FDA has recently increased the number of foreign drug manufacturers that it inspects as well as the frequency of such inspections. As a result, our third-party manufacturers may be subject to increased scrutiny.</w:t>
      </w:r>
    </w:p>
    <w:p>
      <w:pPr>
        <w:spacing w:after="0" w:line="18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we were to experience an unexpected loss of supply for clinical development or commercialization, we could experience delays in our ongoing or planned clinical trials as our third-party manufacturers would need to manufacture additional quantities of our clinical and commercial supply and we may not be able to provide sufficient lead time to enable our third-party manufacturers to schedule a manufacturing slot, or to produce the necessary replacement quantities. This could result in delays in progressing our clinical development activities and achieving regulatory approval for our products, which could materially harm our business.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manufacture of pharmaceutical products is complex and requires significant expertise and capital investment, including the development of advanced manufacturing techniques and process controls. We and our contract manufacturers must comply with cGMP regulations and guidelines. Manufacturers of pharmaceutical products often encounter difficulties in production, particularly in scaling up and validating initial production.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We cannot assure you that any stability or other issues relating to the manufacture of any of our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Any adverse developments affecting clinical or commercial manufacturing of our products may result in shipment delays, inventory shortages, lot failures, product withdrawals or recalls, or other interruptions in the supply of our products or product candidates. We may also have to take inventory write-offs and incur other charges and expenses for products or product candidates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products or product candidates and could have a material adverse effect on our business, prospects, financial condition and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b w:val="1"/>
          <w:bCs w:val="1"/>
          <w:i w:val="1"/>
          <w:iCs w:val="1"/>
          <w:color w:val="auto"/>
        </w:rPr>
        <w:t>The complexity of a combination product that includes a drug or biologic and a medical device presents additional, unique development and regulatory challenges, which may adversely impact our or our Founded Entities’ development plans and our or our Founded Entities’ ability to obtain regulatory approval of our Wholly Owned or our Founded Entities’ product candidates.</w:t>
      </w:r>
    </w:p>
    <w:p>
      <w:pPr>
        <w:spacing w:after="0" w:line="5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We or our Founded Entities, such as Follica, may decide to pursue marketing authorization of a combination product. A combination product includes, amongst other possibilities, any investigational drug, device, or biologic packaged separately that according to its proposed labeling is for use only with another individually specified investigational drug, device, or biologic where both are required to achieve the intended use, indication, or effect.</w:t>
      </w:r>
    </w:p>
    <w:p>
      <w:pPr>
        <w:spacing w:after="0" w:line="14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Developing and obtaining regulatory approval for combination products pose unique challenges because they involve components that are regulated under different types of regulatory requirements, and by different FDA centers. As a result, such products raise regulatory, policy and review management challenges. For example, because divisions from both FDA’s Center for Drug Evaluation and Research or Center for Biologics Evaluation and Research and FDA’s Center for Devices and Radiological Health must review submissions concerning product candidates that are combination products comprised of drug or biologics and devices, the regulatory review and approval process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post-approval modifications. Similarly, the device components of our Founded Entities’ product candidates will require any necessary clearances or approvals or other marketing authorizations in other jurisdictions, which may prove challenging to obtain.</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Certain modifications to our Founded Entities’ device products may require new 510(k) clearance or other marketing authorizations and may require our Founded Entities to recall or cease marketing their products.</w:t>
      </w:r>
    </w:p>
    <w:p>
      <w:pPr>
        <w:spacing w:after="0" w:line="6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 xml:space="preserve">Gelesis received marketing clearance for Plenity from the FDA. Once a medical device is permitted to be legally marketed in the United States pursuant to a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 premarket approval, or PMA, a manufacturer may be required to notify the FDA of certain modifications to the device. Manufacturers determine in the first instance whether a change to a product requires a new premarket submission, but the FDA may review any manufacturer’s decision. The FDA may not agree with our Founded Entities’ decisions regarding whether new clearances or approvals are necessary. They may make modifications or add additional features in the future that they believe do not require a new 510(k) clearance, </w:t>
      </w:r>
      <w:r>
        <w:rPr>
          <w:rFonts w:ascii="Arial" w:cs="Arial" w:eastAsia="Arial" w:hAnsi="Arial"/>
          <w:sz w:val="18"/>
          <w:szCs w:val="18"/>
          <w:i w:val="1"/>
          <w:iCs w:val="1"/>
          <w:color w:val="auto"/>
        </w:rPr>
        <w:t xml:space="preserve">de novo </w:t>
      </w:r>
      <w:r>
        <w:rPr>
          <w:rFonts w:ascii="Arial" w:cs="Arial" w:eastAsia="Arial" w:hAnsi="Arial"/>
          <w:sz w:val="18"/>
          <w:szCs w:val="18"/>
          <w:color w:val="auto"/>
        </w:rPr>
        <w:t>classification, or approval of a PMA or PMA amendments or supplements. If the FDA disagrees with their determinations and requires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submit new 510(k) notifications, requests for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PMAs (or PMA supplements or amendments) for modifications to their previously cleared or reclassified products for which they have concluded that new clearances or approvals are unnecessary, they may be required to cease marketing or to recall the modified product until they obtain clearance or approval, and they may be subject to significant regulatory fines or penalties.</w:t>
      </w:r>
    </w:p>
    <w:p>
      <w:pPr>
        <w:spacing w:after="0" w:line="302"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The regulatory landscape that will apply to development of therapeutic product candidates by us or our Founded Entities or collaborators is rigorous, complex, uncertain and subject to change, which could result in delays or termination of development of such product candidates or unexpected costs in obtaining regulatory approvals.</w:t>
      </w:r>
    </w:p>
    <w:p>
      <w:pPr>
        <w:spacing w:after="0" w:line="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or our Founded Entities or collaborators may develop product candidates that use genome or cell editing technologies. Regulatory requirements governing products created with genome editing technology or involving gene therapy treatment have changed frequently and will likely continue to change in the future. Approvals by one regulatory agency may not be indicative of what any other regulatory agency may require for approval, and there is substantial, and sometimes uncoordinated, overlap in those responsible for regulation of gene therapy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products, cell therapy products and other products created with genome editing technology.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or our Founded Entities to perform additional preclinical studies or clinical trials, increase our or our Founded Entities’ development costs, lead to changes in regulatory positions and interpretations, delay or prevent approval and commercialization of these treatment candidates or lead to significant post-approval limitations or restrictions.</w:t>
      </w: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European Union, the EMA has a Committee for Advanced Therapies, or CAT, that is responsible for assessing the quality, safety and efficacy of advanced 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The EMA may issue new guidelines concerning the development and marketing authorization for gene therapy medicinal products and require that we or our Founded Entities comply with these new guidelines. Similarly complex regulatory environments exist in other jurisdictions in which we or our Founded Entities might consider seeking regulatory approvals for our Wholly Owned or our Founded Entities’ product candidates, further complicating the regulatory landscape. As a result, the procedures and standards applied to gene therapy products and cell therapy products may be applied to any of our or our Founded Entities’ gene therapy or genome editing product candidates, but that remains uncertain at this point.</w:t>
      </w:r>
    </w:p>
    <w:p>
      <w:pPr>
        <w:spacing w:after="0" w:line="185"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Changes in applicable regulatory guidelines may lengthen the regulatory review process for our Wholly Owned or our Founded Entities’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or our Founded Entities may develop or limit the use of products utilizing genome editing technologies, either of which could materially harm our or our Founded Entities’ business. Furthermore, regulatory action or private litigation could result in expenses, delays or other impediments to our research programs or the development or commercialization of current or future product candidates.</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As we advance product candidates alone or with collaborators, we will be required to consult with these regulatory and advisory groups and comply with all applicable guidelines, rules and regulations. If we fail to do so, we or our collaborators may be required to delay or terminate development of such product candidates. Delay or failure to obtain, or unexpected costs in obtaining, the regulatory approval necessary to bring a product candidate to market could decrease our ability to generate sufficient product revenue to maintain our business.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elect or be able to take advantage of any expedited development or regulatory review and approval processes available to drug product candidates granted breakthrough therapy or fast track designation by the FDA.</w:t>
      </w:r>
    </w:p>
    <w:p>
      <w:pPr>
        <w:spacing w:after="0" w:line="6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intend to evaluate and continue ongoing discussions with the FDA on regulatory strategies that could enable us or our Founded Entities to take advantage of expedited development pathways for certain of our Wholly Owned or our Founded Entities’ product candidates in the future, although we cannot be certain that our Wholly Owned or our Founded Entities’ product candidates will qualify for any expedited development pathways or that regulatory authorities will grant, or allow us or our Founded Entities to maintain, the relevant qualifying designations. Potential expedited development pathways that we could pursue include breakthrough therapy and fast track designation.</w:t>
      </w:r>
    </w:p>
    <w:p>
      <w:pPr>
        <w:spacing w:after="0" w:line="1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Breakthrough therapy designation is intended to expedite the development and review of drug product candidates that are designed to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Fast track designation is designed for drug product candidates intended for the treatment of a serious or life-threatening disease or condition, where preclinical or clinical data demonstrate the potential to address an unmet medical need for this disease or condition. Accordingly, even if we believe a particular product candidate is eligible for breakthrough therapy or fast track designation, we cannot assure you that the FDA would decide to grant it. Breakthrough therapy designation and fast track designation do not change the standards for product approval, and there is no assurance that such designation or eligibility will result in expedited review or approval or that the approved indication will not be narrower than the indication covered by the breakthrough therapy designation or fast track designation. Thus, even if we or our Founded Entities do receive breakthrough therapy or fast track designation, we or our Founded Entities may not experience a faster development process, review or approval compared to conventional FDA procedures. The FDA may withdraw breakthrough therapy or fast track designation if it believes that the product no longer meets the qualifying criteria. Our business may be harmed if we are unable to avail ourselves of these or any other expedited development and regulatory pathways.</w:t>
      </w:r>
    </w:p>
    <w:p>
      <w:pPr>
        <w:spacing w:after="0" w:line="27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If we or our Founded Entities are unable to successfully validate, develop and obtain regulatory approval for companion diagnostic tests for any future drug candidates that require or would commercially benefit from such tests, or experience significant delays in doing so, we or our Founded Entities may not realize the full commercial potential of these drug candidates.</w:t>
      </w:r>
    </w:p>
    <w:p>
      <w:pPr>
        <w:spacing w:after="0" w:line="5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connection with the clinical development of our Wholly Owned or Founded Entities’ product candidates for certain indications, we or our Founded Entities may work with collaborators to develop or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 disease category who may derive selective and meaningful benefit from our drug candidates. For example, we may elect to develop companion diagnostics for LYT-200 and LYT-210. To be successful, we, our Founded Entities or our collaborators will need to address a number of scientific, technical, regulatory and logistical challenges. The FDA, the EMA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or our Founded Entities may develop, which we expect will require separate regulatory clearance or approval prior to commercialization.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We or our Founded Entities may rely on third parties for the design, development and manufacture of companion diagnostic tests for our Wholly Owned or our Founded Entities’ product candidates that may require such tests. If we or our Founded Entities enter into such collaborative agreements, we will be dependent on the sustained cooperation and effort of our future collaborators in developing and obtaining approval for these companion diagnostics.</w:t>
      </w:r>
    </w:p>
    <w:p>
      <w:pPr>
        <w:spacing w:after="0" w:line="2"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our Founded Entities and our future collaborators may encounter difficulties in developing, obtaining regulatory approval for, manufacturing and commercializing companion diagnostics similar to those we face with respect to our Wholly Owned product candidates themselves, including issues with achieving regulatory clearance or approval, production of sufficient quantities at commercial scale and with appropriate quality standards, and in gaining market acceptance. If we or our Founded Entities are unable to successfully develop companion diagnostics for these product candidates, or experience delays in doing so, the development of these product candidates may be adversely affected, these product candidates may not obtain marketing approval, and we may not realize the full commercial potential of any of these product candidates that obtain marketing approval. As a result, our business, results of operations and financial condition could be materially harmed. In addition, a diagnostic company with whom we or our Founded Entities contract may decide to discontinue selling or manufacturing the companion diagnostic test that we anticipate using in connection with development and commercialization of our Wholly Owned or our Founded Entities’ product candidates or our relationship with such diagnostic company may otherwise terminate. We or our Founded Entities may not be able to enter into arrangements with another diagnostic company to obtain supplies of an alternative diagnostic test for use in connection with the development and commercialization of our Wholly Owned or our Founded Entities’ product candidates or do so on commercially reasonable terms, which could adversely affect and/or delay the development or commercialization of our or our Founded Entities’ therapeutic candidates.</w:t>
      </w:r>
    </w:p>
    <w:p>
      <w:pPr>
        <w:spacing w:after="0" w:line="282"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For any approved product, we or our Founded Entities will be subject to ongoing regulatory obligations and continued regulatory review, which may result in significant additional expense and we or our Founded Entities may be subject to penalties if we or our Founded Entities fail to comply with regulatory requirements or experience unanticipated problems with our Wholly Owned or our Founded Entities’ product candidates.</w:t>
      </w:r>
    </w:p>
    <w:p>
      <w:pPr>
        <w:spacing w:after="0" w:line="4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Gelesis’ Plenity and Akili’s EndeavorRx are, and any of our Wholly Owned or our Founded Entities’ product candidates that are cleared or approved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the EMA and other comparable foreign regulatory authorities, including ensuring that quality control and manufacturing procedures conform to current good manufacturing practices, or cGMP, regulations. As such, we and our CMOs are subject to continual review and inspections to assess compliance with cGMP and adherence to commitments made in any marketing clearance, such as for Plenity, and any future 510(k), premarket approval, or PMA, application, NDA, BLA or marketing authorization application, or MAA, or equivalent application. We and our CMOs are also subject to requirements pertaining to the registration of our manufacturing facilities and the listing of our product and product candidates with the FDA; continued complaint, adverse event and malfunction reporting; corrections and removals reporting; and labeling and promotional requirements. Accordingly, we and others with whom we work must continue to expend time, money, and effort in all areas of regulatory compliance, including manufacturing, production and quality control. Gelesis’ and Akili’s marketing clearance for Plenity and EndeavorRx, respectively, are and any regulatory clearances or approvals that we may receive for our Wholly Owned or our Founded Entities’ product candidates will be, subject to limitations on the cleared or approved indicated uses for which the product may be marketed and promoted or to the conditions of</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approval. Any regulatory clearances or approvals that we may receive for our Wholly Owned product candidates may contain requirements for potentially costly post-marketing testing, such as Phase 4 clinical trials and surveillance to monitor the safety and efficacy of a drug product. We are required to report certain adverse reactions and production problems, if any, to the FDA, the EMA and other comparable foreign regulatory authorities. Any new legislation addressing drug or medical safety issues could result in delays in product development or commercialization, or increased costs to assure compliance.</w:t>
      </w:r>
    </w:p>
    <w:p>
      <w:pPr>
        <w:spacing w:after="0" w:line="18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FDA and other agencies, including the U.S. Department of Justice, and for certain products, the Federal Trade Commission, closely regulate and monitor the post-approval marketing, labeling, advertising and promotion of products to ensure that they are manufactured, marketed and distributed only for the cleared or approved indications and in accordance with the provisions of the approved label. We are, and will be, required to comply with requirements concerning advertising and promotion for our Wholly Owned product candidates, if approved. For example, promotional communications with respect to prescription drugs and medical devices are subject to a variety of legal and regulatory restrictions and must be consistent with the information in the product’s label or labeling. We may not promote our products for indications or uses for which they do not have approval or clearance.</w:t>
      </w:r>
    </w:p>
    <w:p>
      <w:pPr>
        <w:spacing w:after="0" w:line="19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holder of a cleared 510(k) or an approved NDA, BLA, PMA, MAA or equivalent marketing authorization must submit new or supplemental applications and obtain approval for certain changes to the approved product, product labeling, or manufacturing process. For example, any modification to Plenity that would significantly affect its safety or effectiveness or that would constitute a major change in its intended use would require a new 510(k) clearance or approval of PMA application. Delays in obtaining required clearances or approvals would harm our ability to introduce new or enhanced product in a timely manner, which in turn would harm our or our Founded Entities’ future growth. Failure to submit a new or supplemental application and to obtain approval for certain changes prior to marketing the modified product may require a recall or to stop selling or distributing the marketed product as modified, and may lead to significant enforcement actions.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European Economic Area, or the EEA, any medical devices will need to comply with the Essential Requirements set forth in Medical Device Regulation. Compliance with these requirements is a prerequisite to be able to affix the CE mark to a product, without which a product cannot be marketed or sold in the EEA. To demonstrate compliance with the Essential Requirements and obtain the right to affix the CE mark, we or our Founded Entities must undergo a conformity assessment procedure, which varies according to the type of medical device and its classification. The conformity assessment procedure requires the intervention of a Notified Body, which is an organization designated by a competent authority of an EEA country to conduct conformity assessments. The Notified Body issues a CE Certificate of Conformity following successful completion of a conformity assessment procedure and quality management system audit conducted in relation to the medical device and its manufacturer and their conformity with the Essential Requirements. This Certificate entitles the manufacturer to affix the CE mark to its medical products after having prepared and signed a related EC Declaration of Conformity. In June 2020, Gelesis received a CE Mark for Plenity as a class III medical device indicated for weight loss in overweight and obese adults with a Body Mass Index of 25-40 kg/m2, when used in conjunction with diet and exercise. Also in June 2020, Akili received a CE Mark for EndeavorRx as a prescription-only digital therapeutic software intended for the treatment of attention and inhibitory control deficits in paediatric patients with ADHD.</w:t>
      </w:r>
    </w:p>
    <w:p>
      <w:pPr>
        <w:spacing w:after="0" w:line="17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or our Founded Entities could also be required to conduct post-marketing clinical trials to verify the safety and efficacy of our or our Founded Entities’ products in general or in specific patient subsets. If original marketing approval of a drug or biologic was obtained via an accelerated approval pathway, we or our Founded Entities could be required to conduct a successful post-marketing clinical trial to confirm clinical benefit for our or our Founded Entities’ products. An unsuccessful post-marketing study or failure to complete such a study could result in the withdrawal of marketing approval.</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a regulatory agency discovers previously unknown problems with a product, such as AEs of unanticipated severity or frequency, or problems with the facility where the product is manufactured, or disagrees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promotion, marketing or labeling of a product, such regulatory agency may impose restrictions on that product or us, including requiring withdrawal of the product from the market. If we or our Founded Entities fail to comply with applicable regulatory requirements, a regulatory agency or enforcement authority may, among other things:</w:t>
      </w:r>
    </w:p>
    <w:p>
      <w:pPr>
        <w:spacing w:after="0" w:line="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of our or our Founded Entities’ ongoing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 or our Founded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CMOs’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the value of our company and our operating results will be adversely affected.</w:t>
      </w:r>
    </w:p>
    <w:p>
      <w:pPr>
        <w:spacing w:after="0" w:line="18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clearance or approval of our Wholly Owned or our Founded Entities’ product candidates. For example, following new guidance from the FDA recognizing the need for access to certain low-risk clinically-validated digital health devices for psychiatric conditions during the COVID-19 pandemic, in April 2020 Akili announded that EndeavorRx (AKL-T01) would be available for use by children with ADHD and their families</w:t>
      </w:r>
    </w:p>
    <w:p>
      <w:pPr>
        <w:spacing w:after="0" w:line="15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the FDA’s ability to engage in oversight and implementation activities in the normal course, our business may be negatively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If, for any of our Wholly Owned product candidates that are cleared or approved,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promotional conduct must be changed or curtailed. If we cannot successfully manage the promotion of our Wholly Owned product candidates, if approved, we could become subject to significant liability, which would materially adversely affect our business and financial condition.</w:t>
      </w:r>
    </w:p>
    <w:p>
      <w:pPr>
        <w:spacing w:after="0" w:line="23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Our or our Founded Entities’ products must be manufactured in accordance with federal, state and international regulations, and we or our Founded Entities could be forced to recall our or our Founded Entities’ medical devices or terminate production if we or our Founded Entities fail to comply with these regulations.</w:t>
      </w:r>
    </w:p>
    <w:p>
      <w:pPr>
        <w:spacing w:after="0" w:line="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methods used in, and the facilities used for, the manufacture of medical device products of our Founded Entities, including Gelesis, Akili, Follica and Sonde, must comply with the FDA’s cGMPs for medical devices, known as Quality System Regulation, or QSR, which is a complex regulatory scheme that covers the procedures and documentation of, among other requirements, the design, testing, validation, verification, complaint handling, production, process controls, quality assurance, labeling, supplier evaluation, packaging, handling, storage, distribution, installation, servicing and shipping of medical devices. Furthermore, we and our Founded Entities are required to verify that our suppliers maintain facilities, procedures and operations that comply with our quality standards and applicable regulatory requirements. The FDA enforces the QSR through, among other oversight methods, periodic announced or unannounced inspections of medical device manufacturing facilities, which may include the facilities of subcontractors, suppliers or CMOs. Our and our Founded Entities’ products are also subject to similar state regulations and various laws and regulations of foreign countries governing manufacturing.</w:t>
      </w:r>
    </w:p>
    <w:p>
      <w:pPr>
        <w:spacing w:after="0" w:line="18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Our or our Founded Entities’ third-party manufacturers may not take the necessary steps to comply with applicable regulations or our or our Founded Entities’ specifications, which could cause delays in the delivery of our products. In addition, failure to comply with applicable FDA requirements or later discovery of previously unknown problems with our or our Founded Entities’ products or manufacturing processes could result in, among other things: warning letters or untitled letters; customer civil penalties; suspension or withdrawal of approvals or clearances; seizures or recalls of our or our Founded Entities’ products; total or partial suspension of production or distribution; administrative or judicially imposed sanctions; the FDA’s refusal to grant pending or future clearances or approvals for our or our Founded Entities’ products; clinical holds; refusal to permit the import or export of our or our Founded Entities’ products; and criminal prosecution of us or our employees. Any of these actions could significantly and negatively impact supply of our or our Founded Entities’ products. If any of these events occurs, our reputation could be harmed, we could be exposed to product liability claims and we or our Founded Entities could lose customers and suffer reduced revenue and increased costs.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do not have a sales or marketing infrastructure or the capabilities for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market and sell our Wholly Owned product candidates, if and when they are approved. We may also elect to enter into collaborations or strategic partnerships with third parties to engage in commercialization activities with respect to selected product candidates, indications or geographic territories, including territories outside the United States, although there is no guarantee we will be able to enter into these arrangements even if the intent is to do so.</w:t>
      </w:r>
    </w:p>
    <w:p>
      <w:pPr>
        <w:spacing w:after="0" w:line="19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3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marketing, reimbursement, customer service, medical affairs, and other support personnel;</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price products at a sufficient price point to ensure an adequate and attractive level of profitability;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Wholly Owned product candidates or may be unable to do so on terms that are favorable to us or them.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Wholly Owned product candidates, if approved.</w:t>
      </w:r>
    </w:p>
    <w:p>
      <w:pPr>
        <w:spacing w:after="0" w:line="286"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b w:val="1"/>
          <w:bCs w:val="1"/>
          <w:i w:val="1"/>
          <w:iCs w:val="1"/>
          <w:color w:val="auto"/>
        </w:rPr>
        <w:t>The insurance coverage and reimbursement status of newly-approved products is uncertain. Our Wholly Owned product candidates may become subject to unfavorable pricing regulations, third-party coverage and reimbursement practices, or healthcare reform initiatives, which would harm our business. Failure to obtain or maintain coverage and adequate reimbursement for new or current products could limit our ability to market those products and decrease our ability to generate revenue.</w:t>
      </w:r>
    </w:p>
    <w:p>
      <w:pPr>
        <w:spacing w:after="0" w:line="63"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regulations that govern marketing approvals, pricing, coverage, and reimbursement for new drugs and other medical products vary widely from country to country. In the United States, healthcare reform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products or product candidates, even if any product candidates we may develop obtain marketing approval.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ability to successfully commercialize our products and product candidates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Wholly Owned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or product candidates.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Wholly Owned product candidates. Accordingly, in markets outside the United States, the reimbursement for products may be reduced compared with the United States and may be insufficient to generate commercially reasonable revenues and profits.</w:t>
      </w:r>
    </w:p>
    <w:p>
      <w:pPr>
        <w:spacing w:after="0" w:line="174"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as there is no body of established practices and precedents for these new products.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Further, due to the COVID-19 pandemic, millions of individuals have lost/will be losing employer-based insurance coverage, which may adversely affect our ability to commercialize our products, As noted above, in the United States, we plan to have various programs to help patients afford our products, including patient assistance programs and co-pay coupon programs for eligible patients.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Increasingly, third-party payors are requiring that pharmaceutical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or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Wholly Owned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Additionally, we may develop companion diagnostic tests for use with our Wholly Owned or our Founded Entities’ product candidates. We, or our Founded Entities or our collaborators may be required to obtain coverage and reimbursement for these tests separate and apart from the coverage and reimbursement we seek for our Wholly Owned or our Founded Entities’ product candidates, once approved. Even if we or our Founded Entities obtain regulatory approval or clearance for such companion diagnostics, there is significant uncertainty regarding our ability to obtain coverage and adequate reimbursement for the same reasons applicable to our Wholly Owned or our Founded Entities’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w:t>
      </w:r>
    </w:p>
    <w:p>
      <w:pPr>
        <w:spacing w:after="0" w:line="28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healthcare providers, third-party payors and customers can expose pharmaceutical manufacturers to broadly applicable fraud and abuse and other healthcare laws and regulations, including, without limitation, the federal Anti-Kickback Statute and the federal False Claims Act, or the FCA,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ownership,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and state healthcare laws and regulations laws that may affect our ability to operate include, but are not limited to:</w:t>
      </w:r>
    </w:p>
    <w:p>
      <w:pPr>
        <w:spacing w:after="0" w:line="74" w:lineRule="exact"/>
        <w:rPr>
          <w:sz w:val="20"/>
          <w:szCs w:val="20"/>
          <w:color w:val="auto"/>
        </w:rPr>
      </w:pPr>
    </w:p>
    <w:p>
      <w:pPr>
        <w:ind w:left="1080" w:right="20" w:hanging="424"/>
        <w:spacing w:after="0" w:line="25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54" w:lineRule="auto"/>
        <w:rPr>
          <w:sz w:val="20"/>
          <w:szCs w:val="20"/>
          <w:color w:val="auto"/>
        </w:rPr>
      </w:pPr>
      <w:r>
        <w:rPr>
          <w:rFonts w:ascii="Arial" w:cs="Arial" w:eastAsia="Arial" w:hAnsi="Arial"/>
          <w:sz w:val="18"/>
          <w:szCs w:val="18"/>
          <w:color w:val="auto"/>
        </w:rPr>
        <w:t>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00" w:lineRule="exact"/>
        <w:rPr>
          <w:sz w:val="20"/>
          <w:szCs w:val="20"/>
          <w:color w:val="auto"/>
        </w:rPr>
      </w:pPr>
    </w:p>
    <w:p>
      <w:pPr>
        <w:ind w:left="1080" w:hanging="424"/>
        <w:spacing w:after="0" w:line="28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False Claims Act,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3" w:lineRule="exact"/>
        <w:rPr>
          <w:rFonts w:ascii="Arial" w:cs="Arial" w:eastAsia="Arial" w:hAnsi="Arial"/>
          <w:sz w:val="16"/>
          <w:szCs w:val="16"/>
          <w:color w:val="auto"/>
        </w:rPr>
      </w:pPr>
    </w:p>
    <w:p>
      <w:pPr>
        <w:ind w:left="1080" w:right="120" w:hanging="424"/>
        <w:spacing w:after="0" w:line="29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1"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2"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payment is available under Medicare, Medicaid or the Children’s Health Insurance Program (with certain exceptions) to report annually to the U.S. Department of Health and Human Services, or HHS,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w:t>
      </w:r>
    </w:p>
    <w:p>
      <w:pPr>
        <w:spacing w:after="0" w:line="98" w:lineRule="exact"/>
        <w:rPr>
          <w:sz w:val="20"/>
          <w:szCs w:val="20"/>
          <w:color w:val="auto"/>
        </w:rPr>
      </w:pPr>
    </w:p>
    <w:p>
      <w:pPr>
        <w:ind w:left="1080" w:right="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51" w:lineRule="exact"/>
        <w:rPr>
          <w:rFonts w:ascii="Arial" w:cs="Arial" w:eastAsia="Arial" w:hAnsi="Arial"/>
          <w:sz w:val="17"/>
          <w:szCs w:val="17"/>
          <w:color w:val="auto"/>
        </w:rPr>
      </w:pPr>
    </w:p>
    <w:p>
      <w:pPr>
        <w:ind w:left="1080" w:right="20" w:hanging="424"/>
        <w:spacing w:after="0" w:line="28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are often not pre-empted by HIPAA, thus complicating compliance efforts.</w:t>
      </w:r>
    </w:p>
    <w:p>
      <w:pPr>
        <w:spacing w:after="0" w:line="168"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one or more of such laws. Additionally, FDA or foreign regulators may not agree that we have mitigated any risk of bias in our clinical trials due to payments or equity interests provided to investigators or institutions which could limit a regulator’s acceptance of those clinical trial data in support of a marketing application. Moreover,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exclusion from participation in Medicare, Medicaid and other federal healthcare programs, integrity and oversight agreements to resolve allegations of non-compliance, contractual damages, reputational harm, diminished profits and future earnings, and curtailment or restructuring of our operations, any of which could adversely affect our ability to operate our business and our results of operations. In addition, the approval and commercialization of any of our Wholly Owned product candidates outside the United States will also likely subject us to foreign equivalents of the healthcare laws mentioned above, among other foreign laws.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Compliance with U.S. and international data protection laws and regulations, including the General Data Protection Regulation 2016/679, or GDPR, in the European Union,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Healthcare legislative measures aimed at reducing healthcare costs may have a material adverse effect on our business and results of operations.</w:t>
      </w:r>
    </w:p>
    <w:p>
      <w:pPr>
        <w:spacing w:after="0" w:line="152"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Wholly Owned or our Founded Entities’ product candidates or any future product candidates, restrict or regulate post-approval activities and affect our or our Founded Entities’ ability to profitably sell any product for which we or our Founded Entities obtain marketing approval. Changes in regulations, statutes or the interpretation of existing regulations could impact our or our Founded Entities’ business in the future by requiring, for example: (i) changes to our manufacturing arrangements; (ii) additions or modifications to product labeling;</w:t>
      </w:r>
    </w:p>
    <w:p>
      <w:pPr>
        <w:spacing w:after="0" w:line="2" w:lineRule="exact"/>
        <w:rPr>
          <w:sz w:val="20"/>
          <w:szCs w:val="20"/>
          <w:color w:val="auto"/>
        </w:rPr>
      </w:pPr>
    </w:p>
    <w:p>
      <w:pPr>
        <w:ind w:left="120" w:right="300" w:hanging="4"/>
        <w:spacing w:after="0" w:line="260" w:lineRule="auto"/>
        <w:tabs>
          <w:tab w:leader="none" w:pos="4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recall or discontinuation of our products; or (iv) additional record-keeping requirements. If any such changes were to be imposed, they could adversely affect the operation of our business.</w:t>
      </w:r>
    </w:p>
    <w:p>
      <w:pPr>
        <w:spacing w:after="0" w:line="18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United States, there have been and continue to be a number of legislative initiatives and judicial challenges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percent (increased to 70% as of 2019 pursuant to subsequent legislation) point-of-sale discounts off negotiated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Payment methodologies may be subject to changes in healthcare legislation and regulatory challenges. For example, in order for a drug product to receive federal reimbursement under the Medicaid or Medicare Part B programs or to be sold directly to U.S. government agencies, the manufacturer must extend discounts to entities eligible to participate in the 340B drug pricing program. For the 2018 and 2019 fiscal years, CMS altered the reimbursement formula from Average Sale Price (ASP) plus 6 percent to ASP minus 22.5 percent on specified covered outpatient drugs (“SCODs”), but did so without issuing a formal notice of proposed rulemaking. On December 27, 2018, the District Court for the District of Columbia invalidated that formula change, ruling the change was not an “adjustment” which was within the Secretary’s discretion to make, but was instead a fundamental change in the reimbursement calculation, and such a dramatic change was beyond the scope of the Secretary’s authority. On July 31, 2020, the Court of Appeals for the District of Columbia reversed the District Court’s decision, stating that HHS’s decision to lower drug reimbursement rates for 340B hosptials rests on a reasonable interpretation of the Medicare statute.</w:t>
      </w:r>
    </w:p>
    <w:p>
      <w:pPr>
        <w:spacing w:after="0" w:line="181"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The Tax Cuts and Jobs Act of 2017, or the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30, 2018 the Texas District Court Judge issued an order staying the judgment pending appeal. On December 18, 2019, the U.S. Court of Appeals for the 5th Circuit ruled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Litigation and legislation over the ACA are likely to continue, with unpredictable and uncertain results. We will continue to evaluate the effect that the ACA and its possible repeal and replacement has on our business. According to the Congressional Budget Office, the repeal of the individual mandate will cause 13 million fewer Americans to be insured in 2027 and premiums in insurance markets may rise.</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Since January 2017, President Trump has signed various Executive Orders designed to delay the implementation of certain provisions of the ACA or otherwise circumvent some of the requirements for health insurance mandated by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On June 14, 2018, U.S. Court of Appeals for the Federal Circuit ruled that the federal government was not required to pay more than $12 billion in ACA risk corridor payments to third-party payors who argued were owed to them. This decision was appealed to the U.S. Supreme Court, which on April 27, 2020, reversed the U.S. Court of Appeals for the Federal Circuit’s decision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and remanded the case to the U.S. Court of Federal Claims, concluding the government has an obligation to pay these risk corridor payments under the relevant formula. The U.S. federal government has since started sending third-party payors owed payments. It is not clear what effect this result will have on our business, but we will continue to monitor any developments.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the U.S. President signed into law the Further Consolidated Appropriations Act (H.R. 1865), which repeals the Cadillac tax, the health insurance provider tax, and the medical device excise tax.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In December 2018, CMS issued a final rule permitting further collections and payments to and from certain ACA qualified health plans and health insurance issuers under the ACA risk adjustment program. Since then, the ACA risk adjustment program payment parameters have been updated annually. In addition, CMS published a final rule on April 25, 2019 that gave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7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resulted in aggregate reductions of Medicare payments to providers of 2 percent per fiscal year, which went into effect in 2013, and, due to subsequent legislative amendments, will remain in effect through 2030 unless additional Congressional action is taken. However, pursuant to the Coronavirus Aid, Relief and Economic Security Act, or CARES Act, these Medicare sequester reductions will be suspended from May 1, 2020 through December 31, 2020 due to the COVID-19 pandemic. The American Taxpayer Relief Act of 2012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new drug products that have completed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Lastly, on July 24, 2020, President Trump signed four Executive Orders aimed at lowering drug prices. The Executive Orders direct the Secretary of the Department of Health and Human Services to: (1) eliminate protection under an Anti-Kickback Statute safe harbor for certain retrospective price reductions provided by drug manufacturers to sponsors of Medicare Part D plans or pharmacy benefit managers that are not applied at the point-of-sale;</w:t>
      </w:r>
    </w:p>
    <w:p>
      <w:pPr>
        <w:spacing w:after="0" w:line="2" w:lineRule="exact"/>
        <w:rPr>
          <w:sz w:val="20"/>
          <w:szCs w:val="20"/>
          <w:color w:val="auto"/>
        </w:rPr>
      </w:pPr>
    </w:p>
    <w:p>
      <w:pPr>
        <w:ind w:left="120" w:hanging="4"/>
        <w:spacing w:after="0" w:line="285"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or FQHC, as part of the 340B drug program to purchase those drugs at the discounted price paid by the FQHC. On September 13, 2020, President Trump signed an Executive Order 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Although a number of these, and other proposed measures will require authorization through additional legislation to become effective, Congress and the current administration have each indicated that it will continue to seek new legislative and/or administrative measures to control drug costs.</w:t>
      </w:r>
    </w:p>
    <w:p>
      <w:pPr>
        <w:spacing w:after="0" w:line="17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00"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our Wholly Owned or our Founded Entities’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taxes that we are required to pay;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Wholly Owned or our Founded Entities’ product candidates, if approved. Litigation and legislative efforts to change or repeal the ACA are likely to continue, with unpredictable and uncertain results.</w:t>
      </w:r>
    </w:p>
    <w:p>
      <w:pPr>
        <w:spacing w:after="0" w:line="286"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3"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left="120" w:right="560"/>
        <w:spacing w:after="0" w:line="301" w:lineRule="auto"/>
        <w:rPr>
          <w:sz w:val="20"/>
          <w:szCs w:val="20"/>
          <w:color w:val="auto"/>
        </w:rPr>
      </w:pPr>
      <w:r>
        <w:rPr>
          <w:rFonts w:ascii="Arial" w:cs="Arial" w:eastAsia="Arial" w:hAnsi="Arial"/>
          <w:sz w:val="16"/>
          <w:szCs w:val="16"/>
          <w:color w:val="auto"/>
        </w:rPr>
        <w:t>There are a number of major pharmaceutical and biotechnology companies that are currently pursuing the development and commercialization of potential medicines targeting the Brain-Immune-Gut. If any of our competitors receive FDA approval before we do, our Wholly Owned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131" w:lineRule="exact"/>
        <w:rPr>
          <w:sz w:val="20"/>
          <w:szCs w:val="20"/>
          <w:color w:val="auto"/>
        </w:rPr>
      </w:pPr>
    </w:p>
    <w:p>
      <w:pPr>
        <w:ind w:left="1080" w:right="9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extensive resources for preclinical testing, conducting clinical trials, obtaining regulatory approvals, and in manufacturing, marketing, and selling drug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Wholly Owned product candidates. Our competitors may also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Wholly Owned or our Founded Entities’ product candidates for which we or our Founded Entities intend to seek approval as biologic products may face competition sooner than anticipated.</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If we or our Founded Entities are successful in achieving regulatory approval to commercialize any biologic product candidate we or our Founded Entities develop alone or with collaborators, it may face competition from biosimilar products. In the United States, certain of our Wholly Owned and our Founded Entities’ product candidates are regulated by the FDA as biologic products subject to approval under the BLA pathway. The Biologics Price Competition and Innovation Act of 2009, or BPCIA, created an abbreviated pathway for the approval of biosimilar and interchangeable biologic products following the approval of an original BLA.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may not be submitted until four years following the date that the reference product was first licensed by the FDA. In addition, the approval of a biosimilar product may not be made effective by the FDA until 12 years after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biological product candidates.</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believe that any of our Wholly Owned or our Founded Entities’ product candidates that are approved as a biological product under a BLA should qualify for the 12-year period of exclusivity. However, there is a risk that this exclusivity could be shortened due to congressional action or otherwise, or that the FDA will not consider such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product, once approved, will be substituted for any one of our, our Founded Entities’ or our collaborators’ reference products in a way that is similar to traditional generic substitution for non-biologic products is not yet clear, and will depend on a number of marketplace and regulatory factors that are still developing. If competitors are able to obtain marketing approval for biosimilars referencing any products that we or our Founded Entities develop alone or with collaborators that may be approved, such products may become subject to competition from such biosimilars, with the attendant competitive pressure and potential adverse consequences.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w:t>
      </w:r>
    </w:p>
    <w:p>
      <w:pPr>
        <w:spacing w:after="0" w:line="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are currently parties to license and collaboration agreements with a number of universities and pharmaceutical companies and expect to enter into additional agreements as part of our business strategy.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success of our current and any future collaboration arrangements will depend heavily on the efforts and activities of our collaborators. Collaborations are subject to numerous risks, which may include risks that:</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collaborations;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Wholly Owned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92" w:lineRule="exact"/>
        <w:rPr>
          <w:rFonts w:ascii="Arial" w:cs="Arial" w:eastAsia="Arial" w:hAnsi="Arial"/>
          <w:sz w:val="18"/>
          <w:szCs w:val="18"/>
          <w:color w:val="auto"/>
        </w:rPr>
      </w:pPr>
    </w:p>
    <w:p>
      <w:pPr>
        <w:ind w:left="1080" w:right="44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current or future product candidates or that results in costly litigation or arbitration that diverts management attention and resources;</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which may result in a need for additional capital to pursue further development or commercialization of the applicable current or future product candidates;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would not have the exclusive right to develop or commercialize such intellectual property;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Additionally, we may seek to enter into additional collaborations, joint ventures, licenses and other similar arrangements for the development or commercialization of our Wholly Owned product candidates, due to capital costs required to develop or commercialize the product candidate or manufacturing constraints. We may not be successful in our efforts to establish such collaborations for our Wholly Owned product candidates because our R&amp;D pipeline may be insufficient, our Wholly Owned product candidates may be deemed to be at too early of a stage of development for collaborative effort or third parties may not view our Wholly Owned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Wholly Owned product candidates, if approved, and may not conduct those activities in the same manner as we do. Any termination of collaborations we enter into in the future, or any delay in entering into collaborations related to our Wholly Owned product candidates, could delay the development and commercialization of our Wholly Owned product candidates and reduce their competitiveness if they reach the market, which could have a material adverse effect on our business, financial condition and results of operations.</w:t>
      </w:r>
    </w:p>
    <w:p>
      <w:pPr>
        <w:spacing w:after="0" w:line="28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Collaborative relationships with third parties could cause us to expend significant resources and give rise to substantial business risk with no assurance of financial return.</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anticipate relying upon strategic collaborations for marketing and commercializing our existing product candidates, and we may rely even more on strategic collaborations for R&amp;D of other product candidates or discoveries. We may sell product offerings through strategic partnerships with pharmaceutical and biotechnology companies. If we are unable to establish or manage such strategic collaborations on terms favorable to us in the future, our R&amp;D efforts and potential to generate revenue may be limited.</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enter into R&amp;D collaborations during the early phases of product development, success will in part depend on the performance of research collaborators. We will not directly control the amount or timing of resources devoted by research collaborators to activities related to product candidates. Research collaborators may not commit sufficient resources to our R&amp;D programs. If any research collaborator fails to commit sufficient resources, the preclinical or clinical development programs related to the collaboration could be delayed or terminated. Also, collaborators may pursue existing or other development-stage products or alternative technologies in preference to those being developed in collaboration with us. Finally, if we fail to make required milestone or royalty payments to collaborators or to observe other obligations in agreements with them, the collaborators may have the right to terminate or stop performance of those agreements.</w:t>
      </w:r>
    </w:p>
    <w:p>
      <w:pPr>
        <w:spacing w:after="0" w:line="17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regulatory or intellectual property position. In addition, there have been a significant number of recent business combinations among large pharmaceutical companies that have resulted in a reduced number of potential future collaborators. Even if we successfully establish new collaborations, these relationships may never result in the successful development or commercialization of product candidates or the generation of sales revenue. To the extent that we enter into collaborative arrangements, the related product revenues are likely to be lower than if we directly marketed and sold products. Such collaborators may also consider alternative product candidates or technologies for similar indications that may be available to collaborate on and whether such a collaboration could be more attractive than the one with us for any future product candidate.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Management of our relationships with collaborators will require:</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coordination of our marketing and R&amp;D programs with the marketing and R&amp;D priorities of our collaborators;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We rely on third parties to assist in conducting our clinical trials and some aspects of our research and preclinical testing, and those third parties may not perform satisfactorily, including failing to meet deadlines for the completion of such trials, research, or testing.</w:t>
      </w:r>
    </w:p>
    <w:p>
      <w:pPr>
        <w:spacing w:after="0" w:line="1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research and preclinical testing and clinical trials. Any of these third parties may terminate their engagements with us or be unable to fulfill their contractual obligations. If any of our relationships with these third parties terminate, we may not be able to enter into arrangements with alternative third parties on commercially reasonable terms, or at all. If we need to enter into alternative arrangements, it would delay product development activities.</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scientific standards. For example, notwithstanding the obligations of a CRO for a trial of one of our Wholly Owned product candidates, we remain responsible for ensuring that each of our clinical trials is conducted in accordance with the general investigational plan and protocols for the trial. Moreover, the FDA requires us to comply with requirements,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 If we or our third-party contractors fail to comply with applicable GCPs, the clinical data generated in our clinical trials may be deemed unreliable and the FDA may require us to perform additional clinical trials before approving our Wholly Owned product candidates, which would delay the regulatory approval process. We cannot be certain that, upon inspection, the FDA will determine that any of our clinical trials comply with GCPs. We are also required to register certain clinical trials and post the results of completed clinical trials on a government-sponsored database, ClinicalTrials.gov, within certain timeframes. NIH and FDA recently signaled the government’s willingness to begin enforcing those requirements against non-compliant clinical trial sponsors. Failure to do so can result in fines, adverse publicity and civil and criminal sanctions.</w:t>
      </w:r>
    </w:p>
    <w:p>
      <w:pPr>
        <w:spacing w:after="0" w:line="17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or medical device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Wholly Owned product candidates. If that occurs, we will not be able to, or may be delayed in our efforts to, successfully commercialize our Wholly Owned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3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Our or our Founded Entities’ use of third parties to manufacture our Wholly Owned or our Founded Entities’ product candidates and other product candidates that we or our Founded Entities may develop for preclinical studies and clinical trials may increase the risk that we or our Founded Entities will not have sufficient quantities of our or our Founded Entities’ product candidates, products, or necessary quantities of such materials on time or at an acceptable cost.</w:t>
      </w:r>
    </w:p>
    <w:p>
      <w:pPr>
        <w:spacing w:after="0" w:line="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With respect to certain of our Wholly Owned or our Founded Entities’ product candidates, we and certain of our Founded Entities do not currently have, nor do we plan to acquire, the infrastructure or capability internally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manufacture drug supplies for our ongoing clinical trials or any future clinical trials that we or our Founded Entities may conduct, and we and our Funded Entities lack the resources to manufacture any product candidates on a commercial scale. We rely, and expect to continue to rely, on third-party manufacturers to produce our and certain of our Founded Entities’ product candidates or other product candidates that we or our Founded Entities may identify for clinical trials, as well as for commercial manufacture if any product candidates receive marketing authorization. Although we and our Founded Entities generally do not begin a clinical trial unless we or our Founded Entities believe we have a sufficient supply of a product candidate to complete the trial, any significant delay or discontinuity in the supply of a product candidate, or the raw material components thereof, for an ongoing clinical trial due to the need to replace a third-party manufacturer could considerably delay the clinical development and potential regulatory authorization of our Wholly Owned or our Founded Entities’ product candidates, which could harm our business and results of operations.</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or our Founded Entities may be unable to identify and appropriately qualify third-party manufacturers or establish agreements with third-party manufacturers or do so on acceptable terms. Even if we or our Founded Entities are able to establish agreements with third-party manufacturers, reliance on third-party manufacturers entails additional risks, including:</w:t>
      </w:r>
    </w:p>
    <w:p>
      <w:pPr>
        <w:spacing w:after="0" w:line="89" w:lineRule="exact"/>
        <w:rPr>
          <w:sz w:val="20"/>
          <w:szCs w:val="20"/>
          <w:color w:val="auto"/>
        </w:rPr>
      </w:pPr>
    </w:p>
    <w:p>
      <w:pPr>
        <w:ind w:left="1080" w:right="6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sourcing of raw materials, components, and such other goods as may be required for execution of its manufacturing processes and the oversight by the third party of its suppliers;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 for the manufacturing activities each performs;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proprietary information, including trade secrets and know-how;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or our Founded Entities.</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Furthermore, all of our CMOs are engaged with other companies to supply and/or manufacture materials or products for such companies, which exposes our manufacturers to regulatory risks for the production of such materials and products. The facilities used by our contract manufacturers to manufacture our drug, or medical device product candidates are subject to review by the FDA pursuant to inspections that will be conducted after we submit an NDA, BLA, PMA application or other marketing application to the FDA. We do not control the manufacturing process of, and are to some extent dependent on, our contract manufacturing partners for compliance with the regulatory requirements, known as cGMP requirements for manufacture of drug, biologic and device products. If our contract manufacturers cannot successfully manufacture material that conforms to our specifications and the strict regulatory requirements of the FDA or others, we will not be able to secure or maintain regulatory authorization for our Wholly Owned or our Founded Entities’ product candidates manufactured at these manufacturing facilities. In addition, we have no control over the ability of our contract manufacturers to maintain adequate quality control, quality assurance and qualified personnel. If the FDA, the EMA or another comparable foreign regulatory agency does not approve these facilities for the manufacture of our Wholly Owned or our Founded Entities’ product candidates or if any agency withdraws its approval in the future, we or our Founded Entities may need to find alternative manufacturing facilities, which would negatively impact our or our Founded Entities’ ability to develop, obtain regulatory authorization for or market our Wholly Owned or our Founded Entities’ product candidates, if cleared or approved.</w:t>
      </w:r>
    </w:p>
    <w:p>
      <w:pPr>
        <w:spacing w:after="0" w:line="18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Wholly Owned or our Founded Entities’ product candidates may compete with other product candidates and marketed products for access to manufacturing facilities. Any performance failure on the part of our or our Founded Entities’ existing or future manufacturers could delay clinical development, marketing approval or commercialization. Our and certain of our Founded Entities’ current and anticipated future dependence upon others for the manufacturing of our Wholly Owned or our Founded Entities’ product candidates may adversely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affect our future profit margins and our ability to commercialize any product candidates that receive marketing clearance or approval on a timely and competitive basis.</w:t>
      </w:r>
    </w:p>
    <w:p>
      <w:pPr>
        <w:spacing w:after="0" w:line="2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the contract manufacturing facilities on which we and certain of our Founded Entities’ rely do not continue to meet regulatory requirements or are unable to meet our or our Founded Entities’ supply demands, our business will be harmed.</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All entities involved in the preparation of product candidates for clinical trials or commercial sale, including our and certain of our Founded Entities’ existing CMOs for our Wholly Owned or our Founded Entities’ product candidates, are subject to extensive regulation. Components of a finished drug or biologic product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products and products approved for sale. Similarly, medical devices manufactured under an IDE must be manufactured in accordance with select provisions the FDA QSR requirements, and devices cleared or approved by FDA for commercial sale must be manufactured in accordance with QSR. Poor control of production processes can lead to the introduction of contaminants or to inadvertent changes in the properties or stability of Gelesis’ Plenity, Akili’s EndeavorRx, our Founded Entities’ other product candidates or our Wholly Owned product candidates. Our or our Founded Entities’ failure, or the failure of third-party manufacturers, to comply with applicable regulations could result in sanctions being imposed on us or our Founded Entities, including clinical holds, fines, injunctions, civil penalties, delays, suspension or withdrawal of approvals, license revocation, suspension of production, seizures or recalls of product candidates or marketed drugs or devices, operating restrictions and criminal prosecutions, any of which could significantly and adversely affect clinical or commercial supplies of our Wholly Owned or our Founded Entities’ product candidates.</w:t>
      </w:r>
    </w:p>
    <w:p>
      <w:pPr>
        <w:spacing w:after="0" w:line="18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or our CMOs must supply all necessary documentation, as applicable, in support of a marketing application, such as an NDA, BLA, PMA or MAA,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Wholly Owned or our Founded Entities’ product candidates or any of our other potential products. In addition, the regulatory authorities may, at any time, audit or inspect a manufacturing facility involved with the preparation of our Wholly Owned or our Founded Entities’ product candidates or our other potential products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18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regulatory authorities also may, at any time following clearance or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For drug and biologic products, as applicable, an NDA, BLA supplement or MAA variation,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equivalent foreign regulatory filing, is also required, which could result in further delay. Similarly, for medical device, a new marketing application or supplement may be required.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These factors could cause us or our Founded Entities to incur higher costs and could cause the delay or termination of clinical trials, regulatory submissions, required approvals, or commercialization of our Wholly Owned or our Founded Entities’ product candidates. Furthermore, if our or our Founded Entities’ suppliers fail to meet contractual requirements and we or our Founded Entities are unable to secure one or more replacement suppliers capable of production at a substantially equivalent cost, our or our Founded Entities’ clinical trials may be delayed or we or our Founded Entities could lose potential revenue.</w:t>
      </w:r>
    </w:p>
    <w:p>
      <w:pPr>
        <w:spacing w:after="0" w:line="296"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We have no sales, distribution, or marketing capabilities, and may invest significant financial and management resources to establish these capabilities. If we are unable to establish such capabilities or enter into agreements with third parties to market and sell our future products, if approved, we may be unable to generate any revenues.</w:t>
      </w:r>
    </w:p>
    <w:p>
      <w:pPr>
        <w:spacing w:after="0" w:line="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Given our stage of development, we have no sales, distribution, or marketing capabilities. To successfully commercialize any products that may result from our development programs, we will need to develop sales and marketing capabilities in the United States, Europe, and other regions, either on our own or with others. We may enter into strategic alliances with other entities to utilize their mature marketing and distribution capabilities, but we may be unable to enter into marketing agreements on favorable terms, if at all. If our future strategic collaborators do not commit sufficient resources to commercialize our future products, if any, and we are unable to develop the necessary marketing capabilities on our own, we may be unable to generate sufficient product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If we or our Founded Entities are unable to obtain and maintain sufficient intellectual property protection for our or our Founded Entities’ existing product candidates or any other product candidates that we or they may identify, or if the scope of the intellectual property protection we or they currently have or obtain in the future is not sufficiently broad, our competitors could develop and commercialize product candidates similar or identical to ours, and our ability to successfully commercialize our existing product candidates and any other product candidates that we or they may pursue may be impaired.</w:t>
      </w:r>
    </w:p>
    <w:p>
      <w:pPr>
        <w:spacing w:after="0" w:line="80"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As is the case with other pharmaceutical and biopharmaceutical companies, our success depends in large part on our ability to obtain and maintain protection of the intellectual property we may own solely and jointly with others, particularly patents, in the United States and other countries with respect to our Wholly Owned or our Founded Entities’ product candidates and technology. We and our Founded Entities seek to protect our proprietary position by filing patent applications in the United States and abroad related to our and our Founded Entities’ existing product candidates, our various proprietary technologies, and any other product candidates or technologies that we or they may identify.</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Obtaining, maintaining and enforcing pharmaceutical and biopharmaceutical patents is costly, time consuming and complex, and we may not be able to file or prosecute all necessary or desirable patent applications, or maintain, enforce or license patents that may issue from such patent applications, at a reasonable cost or in a timely manner. It is also possible that we could fail to identify patentable aspects of our R&amp;D output before it is too late to obtain patent protection. Although we take reasonable measures, we have systems in place to remind us of filing and prosecution deadlines, and we employ outside firms and rely on outside counsel to monitor patent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deadlines, we may miss or fail to meet a patent deadline, including in a foreign country, which could negatively impact our patent rights and harm our competitive position, business, and prospects.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technological and factual questions and has in recent years been the subject of much litigation. The standards that the U.S. Patent and Trademark Office, or the USPTO, and its foreign counterparts use to grant patents are not always applied predictably or uniformly. In addition, the laws of foreign countries may not protect our rights to the same extent as the laws of the United States, or vice versa. There is no assurance that all potentially relevant prior art relating to our patents and patent applications has been found, which can prevent a patent from issuing from a pending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Wholly Owned or our Founded Entities’ product candidates, in whole or in part, or which effectively prevent others from commercializing competitive product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product candidates to ours, or limit the duration of the patent protection of our Wholly Owned or our Founded Entities’ product candidates. For example, we may be subject to a third-party preissuance submission of prior art to the USPTO, or become involved in opposition, derivation, reexamination, inter partes review, post-grant review or interference proceedings challenging our owned or licensed patent rights. An adverse determination in any such submission, proceeding or litigation could reduce the scope of, or invalidate, our patent rights, allow third parties to commercialize our Wholly Owned or our Founded Entities’ product candidates and compete directly with us, without payment to us, or result in our inability to manufacture or commercialize drugs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Furthermore, our and our Founded Entities’ intellectual property rights may be subject to a reservation of rights by one or more third parties. We are party to a license agreement with New York University related to certain intellectual property underlying our LYT-200 and LYT-210 product candidates which is subject to certain rights of the government, including march-in rights, to such intellectual property due to the fact that the research was funded at least in part by the U.S. government. Additionally, our Founded Entities Akili, Follica, Vedanta, Sonde, Alivio and Vor, are party to license agreements with academic institutions pursuant to which such Founded Entities have in-licensed certain intellectual property underlying the product candidates AKL-T01, AKL-T02, AKL-T03, AKL-T04, FOL-004, VE303, Sonde, ALV-306, ALV-304, ALV-107 and VOR33. While these license agreements are exclusive, they contain provisions pursuant to which the government has certain rights, including march-in rights, to such patents and technologies due to the fact that the research was funded at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least in part by the U.S. government.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28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b w:val="1"/>
          <w:bCs w:val="1"/>
          <w:i w:val="1"/>
          <w:iCs w:val="1"/>
          <w:color w:val="auto"/>
        </w:rPr>
        <w:t>Our or our Founded Entities’ rights to develop and commercialize our Wholly Owned or our Founded Entities’ product candidates are subject in part to the terms and conditions of licenses granted to us and our Founded Entities by others, and the patent protection, prosecution and enforcement for some of our Wholly Owned or our Founded Entities’ product candidates may be dependent on our and our Founded Entities’ licensors.</w:t>
      </w:r>
    </w:p>
    <w:p>
      <w:pPr>
        <w:spacing w:after="0" w:line="7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and our Founded Entities currently are reliant upon licenses of certain intellectual property rights and proprietary technologies from third parties that are important or necessary to the development of our and our Founded Entities’ proprietary technologies, including technologies related to our Wholly Owned and our Founded Entities’ product candidates. These licenses, and other licenses we and they may enter into in the future, may not provide adequate rights to use such intellectual property and proprietary technologies in all relevant fields of use or in all territories in which we or our Founded Entities may wish to develop or commercialize technology and product candidates in the future. Licenses to additional third-party proprietary technology or intellectual property rights that may be required for our or our Founded Entities’ development programs may not be available in the future or may not be available on commercially reasonable terms. In that event, we or our Founded Entities may be required to expend significant time and resources to redesign our proprietary technology or product candidates or to develop or license replacement technology, which may not be feasible on a technical or commercial basis. If we and our Founded Entities are unable to do so, we may not be able to develop and commercialize technology and product candidates in fields of use and territories for which we are not granted rights pursuant to such licenses, which could harm our competitive position, business, financial condition, results of operations and prospects significantly.</w:t>
      </w:r>
    </w:p>
    <w:p>
      <w:pPr>
        <w:spacing w:after="0" w:line="17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some circumstances, we and our Founded Entities may not have the right to control the preparation, filing and prosecution of patent applications, or to maintain and enforce the patents, covering technology that we or our Founded Entities license from third parties. In addition, some of our or our Founded Entities’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Wholly Owned or our Founded Entities’ product candidates and proprietary technologies. We and our Founded Entities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w:t>
      </w:r>
    </w:p>
    <w:p>
      <w:pPr>
        <w:spacing w:after="0" w:line="1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addition, our or our Founded Entities’ licensors may own or control intellectual property that has not been licensed to us and, as a result, we may be subject to claims, regardless of their merit, that we are infringing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otherwise violating the licensor’s rights. In addition, while we cannot currently determine the amount of the royalty obligations we would be required to pay on sales of future products, if any, the amounts may be significant. The amount of our and our Founded Entities’ future royalty obligations will depend on the technology and intellectual property we and our Founded Entities use in product candidates that we successfully develop and commercialize, if any. Therefore, even if we or our Founded Entities successfully develop and commercialize product candidates, we may be unable to achieve or maintain profitability. In addition, we or our Founded Entities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rights that are subject to our or our Founded Entities’ existing licenses. Any of these events could have a material adverse effect on our or our Founded Entities’ competitive position, business, financial conditions, results of operations, and prospects.</w:t>
      </w:r>
    </w:p>
    <w:p>
      <w:pPr>
        <w:spacing w:after="0" w:line="289"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If we or our Founded Entities fail to comply with our obligations in the agreements under which we license intellectual property rights from third parties or these agreements are terminated or we or our Founded Entities otherwise experience disruptions to our business relationships with our licensors, we could lose intellectual property rights that are important to our business.</w:t>
      </w:r>
    </w:p>
    <w:p>
      <w:pPr>
        <w:spacing w:after="0" w:line="5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are party to various agreements that we depend on to develop our Wholly Owned or our Founded Entities’ product candidates and various proprietary technologies, and our rights to use currently licensed intellectual property, or intellectual property to be licensed in the future, are or will be subject to the continuation of and our and our Founded Entities’ compliance with the terms of these agreements. For example, under certain of our and our Founded Entities’ license agreements we and our Founded Entities are required to use commercially reasonable efforts to develop and commercialize product candidates covered by the licensed intellectual property rights, maintain the licensed intellectual property rights, and achieve certain development milestones, each of which could result in termination in the event we or our Founded Entities fail to comply.</w:t>
      </w:r>
    </w:p>
    <w:p>
      <w:pPr>
        <w:spacing w:after="0" w:line="16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spite of our efforts, our or our Founded Entities’ licensors might conclude that we have materially breached our obligations under such license agreements and might therefore terminate the license agreements, thereby removing or limiting our or our Founded Entities’ ability to develop and commercialize products and technology covered by these license agreements.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Wholly Owned or our Founded Entities’ product candidates,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or our Founded Entities’ collaborative development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and our Founded Entities’ diligence obligations under the license agreement and what activities satisfy those diligence obligations;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and our Founded Entities’ licensors and us and our Founded Entities and our partners;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addition, certain provisions in our and our Founded Entities’ license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agreement, either of which could have a material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adverse effect on our or our Founded Entities’ business, financial condition, results of operations and prospects. Moreover, if disputes over intellectual property that we or our Founded Entities have licensed prevent or impair our ability to maintain our current licensing arrangements on commercially acceptable terms, we may be unable to successfully develop and commercialize the affected product candidates, which could have a material adverse effect on our competitive position, business, financial conditions, results of operations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commercial success depends in part on our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oppositions, inter partes review and post-grant review before the USPTO, and corresponding foreign patent offices. Numerous U.S. and foreign issued patents and pending patent applications, which are owned by third parties, exist in the fields in which we are pursuing development candidates.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our Wholly Owned or our Founded Entities’ product candidates. In addition, many companies in the biotechnology and pharmaceutical industries have employed intellectual property litigation as a means to gain an advantage over their competitors. As the biotechnology and pharmaceutical industries expand and more patents are issued, and as we gain greater visibility and market exposure as a public company, the risk increases that our existing product candidates and any other product candidates that we or our Founded Entities may identify may be subject to claims of infringement of the patent rights of third parties.</w:t>
      </w:r>
    </w:p>
    <w:p>
      <w:pPr>
        <w:spacing w:after="0" w:line="174"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There may be other third-party patents or patent applications with claims to materials, formulations, methods of manufacture or methods for treatment related to the use or manufacture of our or our Founded Entities’ existing product candidates and any other product candidates that we or they may identify. Because patent applications can take many years to issue, there may be currently pending patent applications which may later result in issued patents that our or our Founded Entities’ existing product candidates and any other product candidates that we or they may identify may infringe. In addition, third parties may obtain patents in the future and claim that use of our or our Founded Entities’ technologies infringes upon these patents. If any third-party patents were held by a court of competent jurisdiction to cover the manufacturing process of our or our Founded Entities’ existing product candidates and any other product candidates that we or they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 Additionally, pending patent applications that have been published can, subject to certain limitations, be later amended in a manner that could cover our Wholly Owned or our Founded Entities’ product candidates. Furthermore, the scope of a patent claim is determined by an interpretation of the law, the written disclosure in a patent and the patent’s prosecution history and can involve other factors such as expert opinion. Our analysis of these issues, including interpreting the relevance or the scope of claims in a patent or a pending application, determining applicability of such claims to our proprietary technologies or product candidates, predicting whether a third party’s pending patent application will issue with claims of relevant scope, and determining the expiration date of any patent in the United States or abroad that we consider relevant may be incorrect, which may negatively impact our or our Founded Entities’ ability to develop and market our Wholly Owned or our Founded Entities’ product candidates. We do not always conduct independent reviews of pending patent applications of and patents issued to third parties.</w:t>
      </w:r>
    </w:p>
    <w:p>
      <w:pPr>
        <w:spacing w:after="0" w:line="19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or our Founded Entities’ formulations, processes for manufacture or methods of use, including any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therapies, the holders of any such patents may be able to block our or our Founded Entities’ ability to develop and commercialize the applicable product candidate unless we obtained a license or until such patent expires. In either case, such a license may not be available on commercially reasonable terms or at all, or it may be non-exclusive, which could result in our competitors gaining access to the same intellectual property.</w:t>
      </w:r>
    </w:p>
    <w:p>
      <w:pPr>
        <w:spacing w:after="0" w:line="16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Parties making claims against us or our Founded Entities may obtain injunctive or other equitable relief, which could effectively block our ability to further develop and commercialize our or our Founded Entities’ existing product candidates and any other product candidates that we may identify. Defense of these claims, regardless of their merit, would involve substantial litigation expense and would be a substantial diversion of management and employee resources from our business. In the event of a successful claim of infringement against us or our Founded Entities, we or our Founded Entities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64"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Parties making claims against us or our Founded Entities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 candidates for an adequate amount of time.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Wholly Owned or our Founded Entities’ product candidates are obtained, once the patent life has expired, we or our Founded Entities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or our Founded Entities’ owned and licensed patent portfolio may not provide us with sufficient rights to exclude others from commercializing products similar or identical to ours.</w:t>
      </w:r>
    </w:p>
    <w:p>
      <w:pPr>
        <w:spacing w:after="0" w:line="28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If we or our Founded Entities are not able to obtain patent term extension or non-patent exclusivity in the United States under the Hatch-Waxman Act and in foreign countries under similar legislation, thereby potentially extending the marketing exclusivity term of our Wholly Owned or our Founded Entities’ product candidates, our business may be materially harmed.</w:t>
      </w:r>
    </w:p>
    <w:p>
      <w:pPr>
        <w:spacing w:after="0" w:line="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Depending upon the timing, duration and specifics of FDA marketing approval of our Wholly Owned or our Founded Entities’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Wholly Owned or our Founded Entities’ product candidates. Nevertheless, we or our Founded Entities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applicable requirements. Moreover, the term of extension, as well as the scope of patent protection during any such extension, afforded by the governmental authority could be less than we request.</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we or our Founded Entities are unable to obtain patent term extension or restoration, or the term of any such extension is less than our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Further, for certain of our and our Founded Entities’ licensed patents, we and our Founded Entities do not have the right to control prosecution, including filing with the USPTO, a petition for patent term extension under the Hatch-Waxman Act. Thus, if one of our or our Founded Entities’ licensed patents is eligible for patent term extension under the Hatch-Waxman Act, we may not be able to control whether a petition to obtain a patent term extension is filed with, or whether a patent term extension is obtained from, the USPTO.</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Also, there are detailed rules and requirements regarding the patents that may be submitted to the FDA for listing in the Approved Drug Products with Therapeutic Equivalence Evaluations, or the Orange Book. We or our Founded Entities may be unable to obtain patents covering our Wholly Owned or our Founded Entities’ product candidates that contain one or more claims that satisfy the requirements for listing in the Orange Book. Even if we or our Founded Entities submit a patent for listing in the Orange Book, the FDA may decline to list the patent, or a manufacturer of generic drugs may challenge the listing. If or when one of our Wholly Owned or our Founded Entities’ product candidates is approved and a patent covering that product candidate is not listed in the Orange Book, a manufacturer of generic drugs would not have to provide advance notice to us of any abbreviated new drug application, or ANDA, filed with the FDA to obtain permission to sell a generic version of such product candidate.</w:t>
      </w:r>
    </w:p>
    <w:p>
      <w:pPr>
        <w:spacing w:after="0" w:line="27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We and our Founded Entities consider proprietary trade secrets, confidential know-how and unpatented know-how to be important to our business. We and our Founded Entities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have relied in the past on third parties to manufacture our Wholly Owned or our Founded Entities’ product candidates, because we may continue to do so in the future, and because we expect to collaborate with third parties on the development of our current product candidates and any future product candidates we develop, we may, at times, share trade secrets with them. We also conduct joint R&amp;D programs that may require us to share trade secrets under the terms of our R&amp;D partnerships or similar agreements. Under such circumstances, trade secrets and confidential know-how can be difficult to maintain as confidential.</w:t>
      </w:r>
    </w:p>
    <w:p>
      <w:pPr>
        <w:spacing w:after="0" w:line="16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and our Founded Entities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cannot be certain that such agreements have been entered into with all relevant parties, and we cannot be certain that our and our Founded Entities’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proprietary information, including trade secrets, and we may not be able to obtain adequate remedies for such breaches. We and our Founded Entities also seek to preserve the integrity and confidentiality of our confidential proprietary information by maintaining physical security of our premises and physical and electronic security of our information technology systems, but it is possible that these security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measures could be breached. If any of our or our Founded Entities’ confidential proprietary information were to be lawfully obtained or independently developed by a competitor, we or our Founded Entities would have no right to prevent such competitor from using that technology or information to compete with us, which could harm our competitive position.</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Unauthorized parties may also attempt to copy or reverse engineer certain aspects of our or our Founded Entities’ products that we consider proprietary. We or our Founded Entities may not be able to obtain adequate remedies in the event of such unauthorized use. Enforcing a claim that a party illegally disclosed or misappropriated a trade secret can be difficult, expensive and time-consuming,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to industry scientific positions. Though our or our Founded Entities’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In addition, if any of our or our Founded Entities’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our or our Founded Entities’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or our Founded Entities’ registered or unregistered trademarks or trade names may be challenged, infringed, circumvented or declared generic or determined to be infringing on other marks. We and our Founded Entities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and our Founded Entities are unable to establish name recognition based on our trademarks and trade names, then we may not be able to compete effectively and our business may be adversely affected. We and our Founded Entities may license our trademarks and trade names to third parties, such as distributors. Though these license agreements may provide guidelines for how our or our Founded Entities’ trademarks and trade names may be used, a breach of these agreements or misuse of our trademarks and tradenames by our licensees may jeopardize our rights in or diminish the goodwill associated with our trademarks and trade names. Our or our Founded Entities’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spacing w:after="0" w:line="28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or our Founded Entities’ patents or other intellectual property, which could be expensive, time consuming and unsuccessful.</w:t>
      </w:r>
    </w:p>
    <w:p>
      <w:pPr>
        <w:spacing w:after="0" w:line="62"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Competitors may infringe our or our Founded Entities’ patents or other intellectual property. Our and our Founded Entities’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evidence of infringement in a competitor’s or potential competitor’s product or service. We may not prevail in any lawsuits that we initiate and the damages or other remedies awarded if we were to prevail may not be commercially meaningful. If we were to initiate legal proceedings against a third party to enforce a patent covering one or more of our Wholly Owned or our Founded Entities’ product candidates, the defendant could counterclaim that the patent covering our or our Founded Entities’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Interference or derivation proceedings provoked by third parties or brought by us or declared by the USPTO may be necessary to determine the priority of inventions with respect to our or our Founded Entities’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clinical trials, continue research programs, license necessary technology from third parties, or enter into development partnerships that would help us bring product candidates to market. Furthermore, because of the substantial amount of discovery required in connection with intellectual property litigation, there is a risk that some of our or our Founded Entities’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adversely impact the price of our ADSs. Furthermore, any of the foregoing could have a material adverse effect on our financial condition, results of operations, and prospects.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and our Founded Entities may be subject to claims challenging the inventorship of our patents and other intellectual property.</w:t>
      </w:r>
    </w:p>
    <w:p>
      <w:pPr>
        <w:spacing w:after="0" w:line="129"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Our and our Founded Entities’ agreements with employees and our personnel policies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automatic upon the creation of an invention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w:t>
      </w:r>
    </w:p>
    <w:p>
      <w:pPr>
        <w:spacing w:after="0" w:line="164"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our Founded Entities or our licensors may be subject to claims that former employees, collaborators or other third parties have an interest in our owned or in-licensed patents, trade secrets, or other intellectual property as an inventor or co-inventor. For example, we, our Founded Entities or our licensors may have inventorship disputes arising from conflicting obligations of employees, consultants or others who are involved in developing our Wholly Owned or our Founded Entities’ product candidates. Litigation may be necessary to defend against these and other claims challenging inventorship of our, our Founded Entities’ or our licensors’ ownership of our owned or in-licensed patents, trade secrets or other intellectual property. If we, our Founded Entities or our licensors fail in defending any such claims, in addition to paying monetary damages, we may lose valuable intellectual property rights, such as exclusive ownership of, or right to use, intellectual property that is important to our Wholly Owned or our Founded Entities’ product candidates. Even if we are successful in defending against such claims, litigation could result in substantial costs and be a distraction to management and other employees.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of the foregoing could have a material adverse effect on our competitive position, business, financial condition, results of operations and prospects.</w:t>
      </w:r>
    </w:p>
    <w:p>
      <w:pPr>
        <w:spacing w:after="0" w:line="35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Issued patents covering our Wholly Owned or our Founded Entities’ product candidates could be found invalid or unenforceable if challenged in courts or patent offices.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we, our Founded Entities or one of our licensing partners initiated legal proceedings against a third party to enforce a patent covering one or more of our Wholly Owned or our Founded Entities’ product candidates, the defendant could counterclaim that the patent covering the relevant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w:t>
      </w:r>
      <w:r>
        <w:rPr>
          <w:rFonts w:ascii="Arial" w:cs="Arial" w:eastAsia="Arial" w:hAnsi="Arial"/>
          <w:sz w:val="17"/>
          <w:szCs w:val="17"/>
          <w:i w:val="1"/>
          <w:iCs w:val="1"/>
          <w:color w:val="auto"/>
        </w:rPr>
        <w:t>e.g.</w:t>
      </w:r>
      <w:r>
        <w:rPr>
          <w:rFonts w:ascii="Arial" w:cs="Arial" w:eastAsia="Arial" w:hAnsi="Arial"/>
          <w:sz w:val="17"/>
          <w:szCs w:val="17"/>
          <w:color w:val="auto"/>
        </w:rPr>
        <w:t>, opposition proceedings). Such proceedings could result in revocation or amendment to our or our Founded Entities’ patents in such a way that they no longer cover our Wholly Owned or our Founded Entities’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Wholly Owned or our Founded Entities’ product candidates. Such a loss of patent protection would have a material adverse impact on our business.</w:t>
      </w:r>
    </w:p>
    <w:p>
      <w:pPr>
        <w:spacing w:after="0" w:line="292"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or our Founded Entities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 is common in the biotechnology and pharmaceutical industries, we and our Founded Entities employ individuals who were previously employed at universities or other biotechnology or pharmaceutical companies, including our competitors or potential competitors. Although we and our Founded Entities try to ensure that our employees, consultants and independent contractors do not use the proprietary information or know-how of others in their work for us, we or our Founded Entities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or our Founded Entities fail in defending any such claims, in addition to paying monetary damages, we may lose valuable intellectual property rights or personnel, which could adversely impact our business. Even if we or our Founded Entities are successful in defending against such claims, litigation could result in substantial costs and be a distraction to management and other employees.</w:t>
      </w:r>
    </w:p>
    <w:p>
      <w:pPr>
        <w:spacing w:after="0" w:line="28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and our Founded Entities have systems in place to remind us to pay these fees, and we and our Founded Entities employ outside firms and rely on outside counsel to pay these fees due to the USPTO and non-U.S. patent agencies. However, we and our Founded Entities cannot guarantee that our licensors have similar systems and procedures in place to pay such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fees. In addition,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Filing, prosecuting and defending patents on our Wholly Owned or our Founded Entities’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or enforce intellectual property rights to the same extent as federal and state laws in the United States. Consequently, we and our Founded Entities may not be able to prevent third parties from practicing our inventions in all countries outside the United States, or from selling or importing products made using our inventions in and into the United States or other jurisdictions. Competitors may use our and our Founded Entities’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or our Founded Entities’ products and our patents or other intellectual property rights may not be effective or sufficient to prevent them from competing.</w:t>
      </w:r>
    </w:p>
    <w:p>
      <w:pPr>
        <w:spacing w:after="0" w:line="18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or our Founded Entities’ patents or marketing of competing products in violation of our proprietary rights generally. Proceedings to enforce our or our Founded Entities’ patent rights in foreign jurisdictions, whether or not successful, could result in substantial costs and divert our efforts and attention from other aspects of our business, could put our or our Founded Entities’ patents at risk of being invalidated or interpreted narrowly and our patent applications at risk of not issuing, and could provoke third parties to assert claims against us or our Founded Entities. We may not prevail in any lawsuits that we or our Founded Entities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some jurisdictions including European Union countries,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our Founded Entities or any of our licensors are forced to grant a license to third parties under patents relevant to our or our Founded Entities’ business, or if we, our Founded Entities or our licensors are prevented from enforcing patent rights against third parties, our competitive position may be substantially impaired in such jurisdictions.</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and our Founded Entities’ ability to protect our products.</w:t>
      </w:r>
    </w:p>
    <w:p>
      <w:pPr>
        <w:spacing w:after="0" w:line="6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States, the first to invent the claimed invention was entitled to a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and our Founded Entities to be cognizant of the time from invention to filing of a patent application and be diligent in filing patent applications, but circumstances could prevent us from promptly filing patent applications on our inventions. Since patent applications in the United States and most other countries are confidential for a period of time after filing or until issuance, we cannot be certain that we, our Founded Entities or our licensors were the first to either (i) file any patent application related to our Wholly Owned or our Founded Entities’ product candidates or (ii) invent any of the inventions claimed in our, our Founded Entities or our licensor’s patents or patent applications.</w:t>
      </w:r>
    </w:p>
    <w:p>
      <w:pPr>
        <w:spacing w:after="0" w:line="18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or our Founded Entities’ owned or in-licensed patent applications and the enforcement or defense of our or our Founded Entities’ owned or in-licensed issued patents, all of which could have a material adverse effect on our competitive position, business, financial condition, results of operations, and prospects.</w:t>
      </w:r>
    </w:p>
    <w:p>
      <w:pPr>
        <w:spacing w:after="0" w:line="182" w:lineRule="exact"/>
        <w:rPr>
          <w:sz w:val="20"/>
          <w:szCs w:val="20"/>
          <w:color w:val="auto"/>
        </w:rPr>
      </w:pPr>
    </w:p>
    <w:p>
      <w:pPr>
        <w:jc w:val="both"/>
        <w:ind w:left="120" w:right="380"/>
        <w:spacing w:after="0" w:line="287" w:lineRule="auto"/>
        <w:rPr>
          <w:sz w:val="20"/>
          <w:szCs w:val="20"/>
          <w:color w:val="auto"/>
        </w:rPr>
      </w:pPr>
      <w:r>
        <w:rPr>
          <w:rFonts w:ascii="Arial" w:cs="Arial" w:eastAsia="Arial" w:hAnsi="Arial"/>
          <w:sz w:val="16"/>
          <w:szCs w:val="16"/>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w:t>
      </w:r>
    </w:p>
    <w:p>
      <w:pPr>
        <w:spacing w:after="0" w:line="2" w:lineRule="exact"/>
        <w:rPr>
          <w:sz w:val="20"/>
          <w:szCs w:val="20"/>
          <w:color w:val="auto"/>
        </w:rPr>
      </w:pPr>
    </w:p>
    <w:p>
      <w:pPr>
        <w:jc w:val="both"/>
        <w:ind w:left="120" w:right="480"/>
        <w:spacing w:after="0" w:line="255" w:lineRule="auto"/>
        <w:rPr>
          <w:sz w:val="20"/>
          <w:szCs w:val="20"/>
          <w:color w:val="auto"/>
        </w:rPr>
      </w:pPr>
      <w:r>
        <w:rPr>
          <w:rFonts w:ascii="Arial" w:cs="Arial" w:eastAsia="Arial" w:hAnsi="Arial"/>
          <w:sz w:val="18"/>
          <w:szCs w:val="18"/>
          <w:color w:val="auto"/>
        </w:rPr>
        <w:t>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9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or our Founded Entities’ proprietary rights may not adequately protect our technologies and product candidates, and do not necessarily address all potential threats to our competitive advantage.</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degree of future protection afforded by our or our Founded Entities’ intellectual property rights is uncertain because intellectual property rights have limitations, and may not adequately protect our or our Founded Entities’ business, or permit us to maintain our competitive advantage. The following examples are illustrative:</w:t>
      </w:r>
    </w:p>
    <w:p>
      <w:pPr>
        <w:spacing w:after="0" w:line="89" w:lineRule="exact"/>
        <w:rPr>
          <w:sz w:val="20"/>
          <w:szCs w:val="20"/>
          <w:color w:val="auto"/>
        </w:rPr>
      </w:pPr>
    </w:p>
    <w:p>
      <w:pPr>
        <w:ind w:left="1080" w:right="100" w:hanging="424"/>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be able to make products that are the same as or similar to our Wholly Owned or our Founded Entities’ product candidates but that are not covered by the claims of the patents that we or our Founded Entities own or have exclusively licensed;</w:t>
      </w:r>
    </w:p>
    <w:p>
      <w:pPr>
        <w:spacing w:after="0" w:line="51"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including inventors or developers of our or our Founded Entities’ owned or in-licensed patented technologies who may become involved with competitors, may independently develop similar technologies that function as alternatives or replacements for any of our or our Founded Entities’ technologies without infringing our intellectual property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our Founded Entities or our licensors or our other collaboration partners might not have been the first to conceive and reduce to practice the inventions covered by the patents or patent applications that we or our Founded Entities own or license or will own or license;</w:t>
      </w:r>
    </w:p>
    <w:p>
      <w:pPr>
        <w:spacing w:after="0" w:line="29"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our Founded Entities or our licensors or our other collaboration partners might not have been the first to file patent applications covering certain of the patents or patent applications that we or they own or have obtained a license, or will own or will have obtained a license;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our Founded Entities or our licensors may fail to meet obligations to the U.S. government with respect to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or our Founded Entities’ pending patent applications will not result in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our Founded Entities’ or our licensors’ patents;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or our Founded Entities own or exclusively license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or our Founded Entities’ competitors might conduct R&amp;D activities in countries where we do not have patent rights, or in countries where R&amp;D safe harbor laws exist,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ownership, validity or enforceability of our, our Founded Entities’ or our licensors’ patents or patent applications may be challenged by third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patents of third parties or pending or future applications of third parties, if issued, may have an adverse effect on our business.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outbreak of, and the long term effects of the outbreak of, the novel strain of coronavirus, SARS-CoV-2, which causes COVID- 19, could adversely impact our business, including our clinical trials and preclinical studies.</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Public health crises such as pandemics or other global emergencies could adversely impact our business. In December 2019, a novel strain of coronavirus, SARS-CoV-2, which causes coronavirus disease 2019, or COVID-19, surfaced in Wuhan, China. Since then, COVID-19 has spread globally. In response to the spread of COVID-19 and governmental shelter-in-place orders, we have encouraged our administrative employees to work outside of our offices and allowed staff in our laboratory facilities to operate under applicable government orders and protocols designed to protect their health and safety.</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a result of the COVID-19 outbreak or any future pandemics, we have experienced, and may in the future experience, disruptions that severely impact our business, clinical trials and preclinical studies, including:</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disruptions in non-clinical experiments due to unforeseen circumstances at contract research organizations, or CROs, and vendors along their supply chain;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not accepting home health visits;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jc w:val="both"/>
        <w:ind w:left="1080" w:right="100" w:hanging="424"/>
        <w:spacing w:after="0" w:line="31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which may impact review and approval timelines;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8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18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addition, the trading prices for biopharmaceutical companies have been highly volatile as a result of the COVID-19 pandemic. As a result, if we require any further capital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7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such as those relating to our clinical development operations, the supply chain for our ongoing and planned clinical trials, and the availability of governmental and regulatory authorities to conduct inspections of our clinical trial sites, review materials submitted by us in support of our applications for regulatory approval and grant approval for our product candidates.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not be successful in our efforts to develop LYT-100 for the treatment of Long COVID respiratory complications and related sequelae.</w:t>
      </w:r>
    </w:p>
    <w:p>
      <w:pPr>
        <w:spacing w:after="0" w:line="14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plan to conduct a global, randomized, placebo-controlled Phase 2 trial to evaluate the efficacy, safety and tolerability of LYT-100 in non-critical COVID-19 patients with respiratory complications. As currently designed, patients will receive treatment for up to three months and the trial is expected to enroll up to 168 patients.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timing and success of this proposed clinical trial will depend on our ability to enroll patients in the trial. Many other companies are pursuing the development of product candidates for the treatment of COVID-19,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patient enrollment may be affected by availability of commercially available treatment. Our ability to enroll a sufficient number of patients could also be impacted by a decrease in COVID-19 hospitalization rates or a decrease in COVID-19 infection rate. Our inability to enroll a sufficient number of patients could result in significant delays or could require us to abandon the trial and development of LYT-100 for the treatment of these patients altogether.</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Given the rapidity of the onset of the COVID-19 pandemic, scientific and medical research on the SARS-CoV-2 virus is ongoing and evolving. Results from ongoing clinical trials and discussions with regulatory authorities may raise new questions and require us to redesign proposed clinical trials, including revising proposed endpoints or adding new clinical trial sites or cohorts of subjects. Any such developments could delay the development timeline for and materially increase the cost of LYT-100. Furthermore, we cannot be certain that the evidence that we believe suggests that LYT-100 may be beneficial to these patients will be established in a clinical trial. The failure of LYT-100 to demonstrate safety and efficacy in these patients could negatively impact the perception of us and LYT-100 by investors and it is possible that unexpected safety issues could occur in these COVID-19 patients. Any such safety issues could affect our development plans for LYT-100 in other indications.</w:t>
      </w:r>
    </w:p>
    <w:p>
      <w:pPr>
        <w:spacing w:after="0" w:line="285" w:lineRule="exact"/>
        <w:rPr>
          <w:sz w:val="20"/>
          <w:szCs w:val="20"/>
          <w:color w:val="auto"/>
        </w:rPr>
      </w:pPr>
    </w:p>
    <w:p>
      <w:pPr>
        <w:ind w:left="120" w:right="60"/>
        <w:spacing w:after="0" w:line="327" w:lineRule="auto"/>
        <w:rPr>
          <w:sz w:val="20"/>
          <w:szCs w:val="20"/>
          <w:color w:val="auto"/>
        </w:rPr>
      </w:pPr>
      <w:r>
        <w:rPr>
          <w:rFonts w:ascii="Arial" w:cs="Arial" w:eastAsia="Arial" w:hAnsi="Arial"/>
          <w:sz w:val="15"/>
          <w:szCs w:val="15"/>
          <w:b w:val="1"/>
          <w:bCs w:val="1"/>
          <w:i w:val="1"/>
          <w:iCs w:val="1"/>
          <w:color w:val="auto"/>
        </w:rPr>
        <w:t>We attempt to distribute our scientific, execution and financing risks across a variety of therapeutic areas, indications, programs and modalities that relate to the brain, immune system and gastrointestinal system and the interface between them. However, our assessment of, and approach to, risk may not be comprehensive or effectively avoid delays or failures in one or more of our programs. Failures in one or more of our programs could adversely impact other programs and have a material adverse impact on our business, results of operations and ability to fund our business.</w:t>
      </w:r>
    </w:p>
    <w:p>
      <w:pPr>
        <w:spacing w:after="0" w:line="3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are creating medicines for serious diseases involving the brain, immune system and gastrointestinal, or BIG, system and the interface between those systems, or the BIG Axis. We have made investments in our Founded Entities, R&amp;D infrastructure, and clinical capabilities that have enabled us to establish the underlying programs and platforms that have resulted in 24 products and product candidates that are being advanced within our Wholly Owned Programs or by our Founded Entities. Of these products and product candidates, 12 are clinical-stage, and two have been cleared by the FDA and granted marketing authorization in the EEA. Our Non-Controlled Founded Entities are advancing eight of these product candidates, including two that are expected to enter Phase 3/Pivotal studies, as well as two FDA-cleared products. Our Controlled Founded Entities are advancing nine of these product candidates, including one that is expected to enter a Phase 3 study, and three that are in Phase 2 development, and we are advancing four of these product candidates within our Wholly Owned Pipeline. As our and certain of our Founded Entities’ product candidates progress through clinical development, we or others may determine that certain of our risk allocation decisions were incorrect or insufficient, that individual programs or our science in general has technology or biology risks that were unknown or underappreciated, or that we have allocated resources across our programs in such a way that did not maximize potential value creation. All of these risks may relate to our current and future programs sharing similar science and infrastructure, and in the event material decisions in any of these areas turn out to have been incorrect or under-optimized, we may experience a material adverse impact on our business and ability to fund our operations.</w:t>
      </w:r>
    </w:p>
    <w:p>
      <w:pPr>
        <w:spacing w:after="0" w:line="28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on the clinical advancement of our programs and our success in identifying potential product candidates across the BIG Axis. Delay or failure to advance our programs could adversely impact our business.</w:t>
      </w:r>
    </w:p>
    <w:p>
      <w:pPr>
        <w:spacing w:after="0" w:line="6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are developing new medicines based on the lymphatic system, the BIG systems and the BIG Axis. Over time, our and our Founded Entities’ preclinical and clinical work led us to identify potential synergies across target therapeutic indications in the BIG Axis, generating a broad portfolio of product candidates across multiple programs. Even if a particular program is successful in any phase of development, such program could fail at a later phase of development, and other programs within the same therapeutic area may still fail at any phase of development including at phases where earlier programs in that therapeutic area were successful. This may be a result of technical challenges unique to that program or due to biology risk, which is unique to every program.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we progress our programs through clinical development, there may be new technical challenges that arise that cause an entire program or a group of programs within an area of focus in the BIG Axis to fail. While we aim to segregate risk across programs, and in certain cases among our Founded Entities, there may be foreseen and unforeseen risks across our Wholly Owned Pipeline and programs being developed by our Founded Entities in whole or in part. In addition, if any one or more of our clinical programs encounter safety, tolerability, or efficacy problems, developmental delays, regulatory issues, or other problems, our business could be significantly harmed.</w:t>
      </w:r>
    </w:p>
    <w:p>
      <w:pPr>
        <w:spacing w:after="0" w:line="2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directors, consultants and advisors and to attract, retain and motivate qualified personnel.</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ability to compete in the highly competitive biotechnology industry depends upon our ability to attract and retain highly qualified managerial, scientific and medical personnel. We are highly dependent on the management, R&amp;D, clinical, financial and business development expertise of our executive officers, our directors, as well as the other members of our scientific and clinical teams, including Daphne Zohar, our chief executive officer, Bharatt Chowrira, our president and chief of business and strategy, Stephen Muniz, our chief operating officer, Joep Muijrers, our chief of portfolio strategy, Eric Elenko, our chief innovation officer, and Joseph Bolen, our chief scientific officer. The loss of the services of any of our executive officers and other key personnel, and our inability to find suitable replacements could result in delays in product development and our financial condition and results of operations could be materially adversely affected.</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Furthermore, each of our executive officers may terminate their employment with us at any time. Recruiting and retaining qualified scientific and clinical personnel and, if we progress the development of our Wholly Owned Pipeline toward scaling up for commercialization, sales and marketing personnel, will also be critical to our success. The loss of the services of our executive officers or other key employees could impede the achievement of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Wholly Owned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w:t>
      </w:r>
    </w:p>
    <w:p>
      <w:pPr>
        <w:spacing w:after="0" w:line="17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will need to expand our organization and we may experience difficulties in managing this growth, which could disrupt our operations.</w:t>
      </w:r>
    </w:p>
    <w:p>
      <w:pPr>
        <w:spacing w:after="0" w:line="14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As we mature, we expect to expand our full-time employee base and to hire more consultants and contractors. Our management may need to divert a disproportionate amount of its attention away from our day-to-day activities and devote a substantial amount of time toward managing these growth activities. We may not be able to effectively manage the expansion of our operations, which may result in weaknesses in our infrastructure, operational mistakes, loss of business opportunities, loss of employees and reduced productivity among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Because we are developing multiple programs and product candidates and are pursuing a variety of target indications and treatment modalities, we may expend our limited resources to pursue a particular product candidate and fail to capitalize on development opportunities or product candidates that may be more profitable or for which there is a greater likelihood of success.</w:t>
      </w:r>
    </w:p>
    <w:p>
      <w:pPr>
        <w:spacing w:after="0" w:line="5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Because we have limited financial and personnel resources, we may forgo or delay pursuit of opportunities with potential target indications or product candidates that later prove to have greater commercial potential than our current and planned development programs and product candidates.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be required to relinquish valuable rights to that product candidate through collaboration, licensing or other royalty arrangements in cases in which it would have been more advantageous for us to retain sole development and commercialization rights to such future product candidates.</w:t>
      </w:r>
    </w:p>
    <w:p>
      <w:pPr>
        <w:spacing w:after="0" w:line="16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For example, we recently acquired LYT-100, which is our most advanced product candidate and to which we are investing significant resources for its development.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6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product candidates in human clinical trials and will face an even greater risk if we commercially sell any products that we may develop. If we cannot successfully defend ourselves against claims that our Wholly Owned product candidates or medicines caused injuries, we could incur substantial liabilities. Regardless of merit or eventual outcome, liability claims may result in:</w:t>
      </w:r>
    </w:p>
    <w:p>
      <w:pPr>
        <w:spacing w:after="0" w:line="9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our Wholly Owned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product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17"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Social media is increasingly being used to communicate about our and our Founded Entities’ clinical development programs and the diseases our therapeutics are being developed to treat, and we intend to utilize appropriate social media in connection with our commercialization efforts following approval of our Wholly Owned product candidates.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Wholly Owned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and our Founded Entities’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as well as the employees, independent contractors, consultants, commercial partners and vendors of our Founded Entities. Misconduct by these parties could include intentional, reckless and negligent conduct that fails to: comply with the laws of the FDA and comparable foreign regulatory authorities; provide true, complete and accurate information to the FDA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If we or our Founded Entities obtain FDA approval of our Wholly Owned or our Founded Entities’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litigation and unfavorable publicity could negatively affect our future business.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4"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including conditions resulting from the COVID-19 pandemic, could adversely affect our business, financial condition or results of operations.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and our Founded Entities may experience difficulties in any eventual commercialization of our Wholly Owned or our Founded Entities’ product candidates and our business, results of operations, financial condition and cash flows could be adversely affected.</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disruptions in the capital and credit markets. A severe or prolonged economic downturn could result in a variety of risks to our business, including a reduced ability to raise additional capital when needed on acceptable terms, if at all, and weakened demand for our Wholly Owned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COVID-19 pandemic has had, and will continue to have, an unfavorable impact on global economic conditions, including a decrease in or loss of insurance coverage among individuals in the United States, an increase in unemployment, volatility in markets, and other negative impacts that have arisen or will arise over the course of the COVID-19 pandemic.</w:t>
      </w:r>
    </w:p>
    <w:p>
      <w:pPr>
        <w:spacing w:after="0" w:line="2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7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Although to our knowledge we have not experienced any such material system failure or material security breach to date, if such an event were to occur and cause interruptions in our operations, it could result in a material disruption of development programs and business operations.</w:t>
      </w:r>
    </w:p>
    <w:p>
      <w:pPr>
        <w:spacing w:after="0" w:line="18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or ongoing clinical trials for any of our Wholly Owned or our Founded Entities’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8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ability of the FDA to review and approve new products or take action with respect to other regulatory matters can be affected by a variety of factors, including government budget and funding levels, ability to hire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The priorities of the FDA may also influence the ability of the FDA to take action on regulatory matters, for example the FDA’s budget and funding levels and ability to hire and retain key personnel.</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or for other actions to be taken, by relevant government agencies, which would adversely affect our business. For example, over the last several years, including for 35 days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Similarly, a prolonged government shutdown could prevent the timely review of our patent applications by the USPTO, which could delay the issuance of any U.S. patents to which we might otherwise be entitled. Further, in our operations as a public company, future government shutdowns could impact our ability to access the public markets and obtain necessary capital in order to properly capitalize and continue our operations.</w:t>
      </w:r>
    </w:p>
    <w:p>
      <w:pPr>
        <w:spacing w:after="0" w:line="27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a natural disaster and our business continuity and disaster recovery plans may not adequately protect us from a serious disaster.</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operations and prospects.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As a company based in the United Kingdom, we are subject to economic, political, regulatory and other risks associated with international operations.</w:t>
      </w:r>
    </w:p>
    <w:p>
      <w:pPr>
        <w:spacing w:after="0" w:line="62"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As a company based in the United Kingdom, our business is subject to risks associated with being organized outside of the United States. While the majority of our operations are in the United States and our functional currency is the U.S. dollar, our future results could be harmed by a variety of international factors, including:</w:t>
      </w:r>
    </w:p>
    <w:p>
      <w:pPr>
        <w:spacing w:after="0" w:line="8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and changing regulatory requirements;</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but not limited to, the implications of one or more of the following occurring the decision of the United Kingdom:</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relating to the terms of the future trading arrangement between the United Kingdom and the European Union following the expiry of the Brexit transition period on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second referendum on Scottish independence from the United Kingdom; and/or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snap general election;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33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and economic risks associated with doing business outside of the United States.</w:t>
      </w:r>
    </w:p>
    <w:p>
      <w:pPr>
        <w:spacing w:after="0" w:line="6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business strategy incorporates potential international expansion to target patient populations outside the United States. If we or our Founded Entities receive regulatory approval for and commercialize any of our Wholly Owned or our Founded Entities’ product candidates in patient populations outside the United States, we may hire sales representatives and conduct physician and patient association outreach activities outside of the United States. Doing business internationally involves a number of risks, including, but not limited to:</w:t>
      </w:r>
    </w:p>
    <w:p>
      <w:pPr>
        <w:spacing w:after="0" w:line="92" w:lineRule="exact"/>
        <w:rPr>
          <w:sz w:val="20"/>
          <w:szCs w:val="20"/>
          <w:color w:val="auto"/>
        </w:rPr>
      </w:pPr>
    </w:p>
    <w:p>
      <w:pPr>
        <w:ind w:left="1080" w:right="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of 1977, as amended, or the FCPA, its books and records provisions, or its anti-bribery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significantly harm our potential international expansion and operations and, consequently, our results of operations.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the event we decide to conduct clinical trials or continue to enroll subjects in our ongoing or future clinical trials in the European Union, we may be subject to additional privacy restrictions. The collection and use of personal health data in the European Union is governed by the provisions of the General Data Protection Regulation (EU) 2016/679,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personal data. The GDPR also imposes strict rules on the transfer of personal data out of the European Union to the United States. Failure to comply with the requirements of the Data Protection Directive, which governs the collection and use of personal health data in the European Union, the GDPR, and the related national data protection laws of the European Union Member States may result in fines and other administrative penalties. The GDPR introduced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30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the U.K. Bribery Act 2010, or the Bribery Act, the FCPA and other anti-corruption laws, as well as export control laws, import and customs laws, trade and economic sanctions laws and other laws governing our operations.</w:t>
      </w:r>
    </w:p>
    <w:p>
      <w:pPr>
        <w:spacing w:after="0" w:line="62"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In the future, we and our strategic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8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7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the price of our ADSs.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for the United Kingdom to leave the European Union. The United Kingdom’s withdrawal from the European Union is commonly referred to as Brexit. In October 2019, a withdrawal agreement, or the Withdrawal Agreement, setting out the terms of the United Kingdom’s exit from the European Union, and a political declaration on the framework for the future relationship between the United Kingdom and European Union was agreed between the UK and EU governments. Under the terms of the EU Withdrawal Agreement,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United Kingdom withdrew from membership of the European Union on 31 January 2020 and entered into a ‘transition period’ which is due to expire on 31 December 2020, or the Transition Period. During the Transition Period, the majority of rights and obligations associated with membership of the European Union continue to apply to the United Kingdom. The UK Government’s intention is to negotiate a trade agreement with the European Union during the Transition Period, but there is no guarantee that the terms of a trading agreement will be ratified by the UK Government or the European Union prior to the end of the transition period. On 12 June 2020, the UK Government announced that it would not seek to extend the transition period. As a result, the trading relationship between the United Kingdom and the European Union will be governed by WTO rules from 31 December 2020 unless a trading arrangement is agreed and ratified by both parties before that date.</w:t>
      </w:r>
    </w:p>
    <w:p>
      <w:pPr>
        <w:spacing w:after="0" w:line="17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Europe. As a result of this uncertainty, global financial markets could experience significant volatility, which could adversely affect the market price of our ADSs. Asset valuations, currency exchange rates and credit ratings may also be subject to increased market volatility.</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also face new regulatory costs and challenges that could have an adverse effect on our operations. Depending on the terms of the trading agreement to be negotiated between the United Kingdom and the European Union, the United Kingdom could lose the benefits of global trade agreements negotiated by the European Union on behalf of its members, which may result in increased trade barriers that could make our doing business in Europe more difficult. In addition, currency exchange rates in the pound sterling and the euro with respect to each other and the U.S. dollar have already been adversely affected by Brexit. Furthermore, at present, there are no indications of the effect Brexit will have on the pathway to obtaining marketing approval for any of our Wholly Owned product candidates in the United Kingdom, or what, if any, role the EMA may have in the approval process.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Equity Securities and ADSs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ADSs or what the market price of our ADSs will be. As a result, it may be difficult for you to sell your ADSs.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our ordinary shares have traded on the LSE since 2015, the ADSs registered hereunder constitute the first opportunity to purchase our ADSs in the United States, and no public market has previously existed for our ADSs or ordinary shares in the United States. We intend to apply to have our ADSs listed on Nasdaq, and we expect our ADSs to be quoted on Nasdaq, subject to completion of customary procedures in the United States. Any delay in the commencement of trading of the ADSs on Nasdaq would impair the liquidity of the market for the ADSs and make it more difficult for holders to sell the ADSs. If the ADSs are listed and quoted on Nasdaq, there can be no assurance that an active trading market for the ADSs will develop or be sustained after registration is completed.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of our ADSs may be highly volatile, and you may not be able to resell your ADSs at or above the price that you pay for them.</w:t>
      </w:r>
    </w:p>
    <w:p>
      <w:pPr>
        <w:spacing w:after="0" w:line="14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market price of our ADSs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ADSs at or above the purchase price. The market price for our ADSs may be influenced by many factors, including:</w:t>
      </w:r>
    </w:p>
    <w:p>
      <w:pPr>
        <w:spacing w:after="0" w:line="54" w:lineRule="exact"/>
        <w:rPr>
          <w:sz w:val="20"/>
          <w:szCs w:val="20"/>
          <w:color w:val="auto"/>
        </w:rPr>
      </w:pPr>
    </w:p>
    <w:p>
      <w:pPr>
        <w:ind w:left="5540" w:right="5220" w:hanging="4884"/>
        <w:spacing w:after="0" w:line="535" w:lineRule="auto"/>
        <w:tabs>
          <w:tab w:leader="none" w:pos="109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adverse results or delays in our preclinical studies or clinical trials; 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reports of AEs or other negative results in clinical trials of third parties’ product candidates that target our Wholly Owned or our Founded Entities’ product candidates’ target indications;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for us to obtain additional funding on reasonable terms or at all;</w:t>
      </w:r>
    </w:p>
    <w:p>
      <w:pPr>
        <w:spacing w:after="0" w:line="130" w:lineRule="exact"/>
        <w:rPr>
          <w:rFonts w:ascii="Arial" w:cs="Arial" w:eastAsia="Arial" w:hAnsi="Arial"/>
          <w:sz w:val="18"/>
          <w:szCs w:val="18"/>
          <w:color w:val="auto"/>
        </w:rPr>
      </w:pPr>
    </w:p>
    <w:p>
      <w:pPr>
        <w:ind w:left="1080" w:right="840" w:hanging="424"/>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delay in filing an IND, BLA or NDA for our Wholly Owned or our Founded Entities’ product candidates and any adverse development or perceived adverse development with respect to the FDA’s review of that IND, BLA or NDA;</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develop successfully and commercialize our Wholly Owned or our Founded Entities’ product candidates;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we make regarding our current product candidates, acquisition of potential new product candidates and companies and/or in-licensing;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failure to maintain our or our Founded Entities’ existing license arrangements or enter into new licensing and collaboration agreements;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by us, our Founded Entities or our licensors to prosecute, maintain or enforce 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obtain adequate clinical or commercial supply for our Wholly Owned or our Founded Entities’ product candidates or the inability to do so at acceptable prices;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reach agreement with applicable regulatory authorities on the design or scope of our planned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obtain and maintain regulatory exclusivity for our Wholly Owned or our Founded Entities’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regulatory approval or commercialization of new products or other methods of treating our target disease indications by our competitors;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 or to the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perception of the pharmaceutical and biotechnology industries by the public, legislatures, regulators and the investment community;</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Founded Entities our strategic collaboration partners or our competitors;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or our Founded Entities’ ability to obtain patent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our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 against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developments relating to any of the above or additional factors with respect to our Founded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ADSs;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volume of our ADSs.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320" w:top="459" w:right="5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performance of these companies. Broad market and industry factors may negatively affect the market price of our ADSs, regardless of our actual operating performance.</w:t>
      </w:r>
    </w:p>
    <w:p>
      <w:pPr>
        <w:spacing w:after="0" w:line="2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ADS price and trading volume could decline.</w:t>
      </w:r>
    </w:p>
    <w:p>
      <w:pPr>
        <w:spacing w:after="0" w:line="62"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trading market for our ADSs and ordinary shares depends in part on the research and reports that securities or industry analysts publish about us or our business. If no or few securities or industry analysts cover our company, the trading price for our ADSs and ordinary shares would be negatively impacted. If one or more of the analysts who covers us downgrades our equity securities or publishes incorrect or unfavorable research about our business, the price of our ordinary shares and ADSs would likely decline. If one or more of these analysts ceases coverage of our company or fails to publish reports on us regularly, or downgrades our securities, demand for our ordinary shares and ADSs could decrease, which could cause the price of our ordinary shares and ADSs or their trading volume to decline.</w:t>
      </w:r>
    </w:p>
    <w:p>
      <w:pPr>
        <w:spacing w:after="0" w:line="28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Sales of a substantial number of our ADSs in the public market could occur at any time, subject to certain restrictions described below. If our existing shareholders sell, or indicate an intent to sell, substantial amounts of our securities in the public market, the trading price of the ADSs could decline significantly and could decline below the original purchase price. As of June 30, 2020, we had 285,512,461 outstanding ordinary shares.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After purchasing an ADS,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Holders of ADSs may be subject to limitations on the transfer of their ADSs and the withdrawal of the underlying ordinary shares.</w:t>
      </w:r>
    </w:p>
    <w:p>
      <w:pPr>
        <w:spacing w:after="0" w:line="12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w:t>
      </w:r>
    </w:p>
    <w:p>
      <w:pPr>
        <w:spacing w:after="0" w:line="1"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2"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spacing w:after="0" w:line="2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One of our principal shareholders has a significant holding in the company which may give them influence in certain matters requiring approval by shareholders, including approval of significant corporate transactions in certain circumstances.</w:t>
      </w:r>
    </w:p>
    <w:p>
      <w:pPr>
        <w:spacing w:after="0" w:line="62"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As of June 30, 2020, Invesco Asset Management Limited, or Invesco, held approximately 29 percent of our ordinary shares. Accordingly, Invesco may, as a practical matter, be able to influence certain matters requiring approval by shareholders, including approval of significant corporate transactions in certain circumstances. Such concentration of ownership may also have the effect of delaying or preventing any future proposed change in control of the Company. The trading price of the ordinary shares could be adversely affected if potential new investors are disinclined to invest in the Company because they perceive disadvantages to a large shareholding being concentrated in the hands of a single shareholder. The interests of Invesco and the investors that acquire ADSs may not be aligned. Invesco may make acquisitions of, or investments in, other businesses in the same sectors as us or our Founded Entities. These businesses may be, or may become, competitors of us or our Founded Entities. In addition, funds or other entities managed or advised by Invesco may be in direct competition with us or our Founded Entities on potential acquisitions of, or investments in, certain businesses. In addition, Invesco holds equity interests in certain of our Founded Entities where they may exert direct influence.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Except as described in this registration statement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depositary for the ADSs has agreed to pay to you any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Because we do not have immediate plans to pay any cash dividends on our ADSs, capital appreciation, if any, may be your sole source of gains and you may never receive a return on your investment.</w:t>
      </w:r>
    </w:p>
    <w:p>
      <w:pPr>
        <w:spacing w:after="0" w:line="6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Under current English law, a company’s accumulated realized profits must exceed its accumulated realized losses (on a non-consolidated basis) before dividends can be declared and paid. Therefore, we must have sufficient distributable profits before declaring and paying a dividend. We have not paid dividends in the past on our ordinary shares. We have not announced any immediate plans to pay any cash dividends. As a result, capital appreciation, if any, on our ADSs will be your sole source of gains for the foreseeable future, and you would suffer a loss on your investment if you were unable to sell your ADSs at or above the price that you initially paid for them. Investors seeking cash dividends should not purchase our ADSs.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an “emerging growth company,” and there are reduced disclosure requirements applicable to emerging growth companies.</w:t>
      </w:r>
    </w:p>
    <w:p>
      <w:pPr>
        <w:spacing w:after="0" w:line="12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an “emerging growth company” as defined in the SEC’s rules and regulations and we will remain an emerging growth company until the earlier to occur of (1) the last day of 2024, (2) the last day of the fiscal year in which we have total annual gross revenues of at least $1.07 billion, (3) the last day of the fiscal year in which we are deemed to be a “large accelerated filer,” under the rules of the U.S. Securities and Exchange Commission,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or SEC, which means the market value of our equity securities that is held by non-affiliates exceeds $700 million as of the prior June 30th, and (4) the date on which we have issued more than $1.0 billion in non-convertible debt during the prior three-year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has or may be adopted by the Public Company Accounting Oversight Board, or PCAOB,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this initial registration statement, in addition to any required unaudited interim financial statements, with correspondingly reduced “Management’s Discussion and Analysis of Financial Condition and Results of Operations” disclosure;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 or golden parachute arrangements.</w:t>
      </w:r>
    </w:p>
    <w:p>
      <w:pPr>
        <w:spacing w:after="0" w:line="248"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registration statement. In particular, we have not included all of the executive compensation information that would be required if we were not an emerging growth company. We cannot predict whether investors will find our ADSs less attractive if we rely on certain or all of these exemptions. If some investors find our ADSs less attractive as a result, there may be a less active trading market for our ADSs and our ADS price may be more volatile.</w:t>
      </w:r>
    </w:p>
    <w:p>
      <w:pPr>
        <w:spacing w:after="0" w:line="18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are considering whether we will take advantage of the extended transition period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reduced disclosure obligations regarding executive compensation in our periodic reports and proxy statements.</w:t>
      </w:r>
    </w:p>
    <w:p>
      <w:pPr>
        <w:spacing w:after="0" w:line="295"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We are not, and do not intend to become, regulated as an “investment company” under the Investment Company Act of 1940, as amended, or the 1940 Act and if we were deemed an “investment company” under the 1940 Act, applicable restrictions could make it impractical for us to continue our business as contemplated and could have a material adverse effect on our business.</w:t>
      </w:r>
    </w:p>
    <w:p>
      <w:pPr>
        <w:spacing w:after="0" w:line="5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1940 Act and the rules thereunder contain detailed parameters for the organization and operation of investment companies. Among other things, the 1940 Act and the rules thereunder limit or prohibit transactions with affiliates, impose limitations on the issuance of debt and equity securities and impose certain governance requirements. We have not been and do not intend to become regulated as an investment company, and we intend to conduct our activities so that we will not be deemed to be an investment company under the 1940 Act. In order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If anything were to happen which would cause us to be deemed to be an investment company under the 1940 Act (such as significant changes in the value of our Founded Entities or a change in circumstance that results in a reclassification of our interests in our Founded Entities for purposes of the 1940 Act), the requirements imposed by the 1940 Act could make it impractical for us to continue our business as currently conducted, which would materially adversely affect our business, results of operations and financial condition. In addition, if we were to become inadvertently subject to the 1940 Act, any violation of the 1940 Act could subject us to material adverse consequences, including potentially significant regulatory penalties and the possibility that certain of our contracts could be deemed unenforceable.</w:t>
      </w:r>
    </w:p>
    <w:p>
      <w:pPr>
        <w:spacing w:after="0" w:line="28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 or our ordinary shares.</w:t>
      </w:r>
    </w:p>
    <w:p>
      <w:pPr>
        <w:spacing w:after="0" w:line="3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LSE, we will not be required to file periodic reports and financial statements with the SEC as frequently or as promptly as U.S. domestic issuers and will not be required to file quarterly reports on Form 10-Q or current reports on Form 8-K under the Exchange Act. Accordingly, there will be less publicly available information concerning our company than there would be if we were not a foreign private issuer.</w:t>
      </w:r>
    </w:p>
    <w:p>
      <w:pPr>
        <w:spacing w:after="0" w:line="28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spacing w:after="0" w:line="7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As a foreign private issuer listed on Nasdaq, we will be subject to corporate governance listing standards. However, rules permit a foreign private issuer like us to follow the corporate governance practices of its home country. Certain corporate governance practices in the United Kingdom, which is our home country, may differ significantly from corporate governance listing standards. For example, neither the corporate laws of the United Kingdom nor our articles of association require a majority of our directors to be independent and we could include non-independent directors as members of our nomination and remuneration committee, though a majority is required, and our independent directors would not necessarily hold regularly scheduled meetings at which only independent directors are present. Currently, we intend to follow home country practice to the maximum extent possible. Therefore, our shareholders may be afforded less protection than they otherwise would have under corporate governance listing standards applicable to U.S. domestic issuers. See “Management.”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2021.</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the future, we would lose our foreign private issuer status if we to fail to meet the requirements necessary to maintain our foreign private issuer status as of the relevant determination date. For example, if more than 50 percent of our securities are held by U.S. residents and more than 50 percent of the members of our executive committee or members of our board of directors are residents or citizens of the United States, we could lose our foreign private issuer status.</w:t>
      </w:r>
    </w:p>
    <w:p>
      <w:pPr>
        <w:spacing w:after="0" w:line="187" w:lineRule="exact"/>
        <w:rPr>
          <w:sz w:val="20"/>
          <w:szCs w:val="20"/>
          <w:color w:val="auto"/>
        </w:rPr>
      </w:pPr>
    </w:p>
    <w:p>
      <w:pPr>
        <w:ind w:left="120" w:right="220"/>
        <w:spacing w:after="0" w:line="271" w:lineRule="auto"/>
        <w:rPr>
          <w:sz w:val="20"/>
          <w:szCs w:val="20"/>
          <w:color w:val="auto"/>
        </w:rPr>
      </w:pPr>
      <w:r>
        <w:rPr>
          <w:rFonts w:ascii="Arial" w:cs="Arial" w:eastAsia="Arial" w:hAnsi="Arial"/>
          <w:sz w:val="17"/>
          <w:szCs w:val="17"/>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will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28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management will be required to devote substantial time to new compliance initiatives.</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 a U.S. public company, and particularly after we are no longer an emerging growth company, we will incur significant legal, accounting and other expenses that we did not incur as a public company listed on the LSE. In addition, the Sarbanes-Oxley Act of 2002, or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we are unable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7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6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269"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In connection with the audit of our consolidated financial statements in accordance with the standards of the PCAOB and U.S. securities laws, a material weakness in our internal control over financial reporting was found to exist. If we fail to implement and maintain effective internal control over financial reporting, we may be unable to accurately report our results of operations, meet our reporting obligations or prevent fraud.</w:t>
      </w:r>
    </w:p>
    <w:p>
      <w:pPr>
        <w:spacing w:after="0" w:line="2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We have been a public company on the LSE with limited requirements to implement and test internal controls under a UK framework. As such, we have not been subject to the internal control over financial reporting requirements of the Sarbanes-Oxley Act of 2002, or the Sarbanes-Oxley Act, and the standards of the PCAOB and furthermore our independent registered public accounting firm has not conducted an audit of our internal control over financial reporting in accordance with such rules. As a U.S. public company, Section 404 of the Sarbanes-Oxley Act will require that our management assess our internal control over financial reporting and include a report of management on our internal control over financial reporting in our annual report on Form 20-F beginning with our second annual report. Although we have adhered to and will continue to adhere to all internal control requirements made relevant by the governance of the LSE, the requirements pertaining to the design and implementation of internal controls over financial reporting as contemplated under the Sarbanes-Oxley Act had not been considered in the production of financial statements for the years ended December 31, 2019, 2018 and 2017 for our annual report issued in the United Kingdom. In connection with the audits of our consolidated financial statements as of and for each of the years ended December 31, 2019, 2018 and 2017 conducted in connection with this registration statement, we and our independent registered public accounting firm identified a material weakness in our internal control over financial reporting. A material weakness is a deficiency, or combination of control deficiencies, in internal control over financial reporting, such that there is a reasonable possibility that a material misstatement of the annual or interim financial statements will not be prevented or detected on a timely basis. The material weakness relates to several significant deficiencies that were identified which, in aggregate, rise to the level of a material weakness. These significant deficiencies relate to our process around accounting for costs attributed to individual projects, contract and consolidated review, segregation of duties, expense identification, allocation of employee stock compensation expense, and tax provision relating to underlying investments and related party identification. We have taken steps to remediate the material weakness, including increasing the depth and experience within our accounting and finance organization, designing and implementing improved processes and internal controls based on the COSO framework, and internally testing the effectiveness of our internal controls. As with any internal control framework, we cannot be certain that these efforts will be sufficient to remediate our material weaknesses, prevent future material weaknesses or significant deficiencies from occurring. If we are unable to successfully remediate our existing or any future material weaknesses in our internal control over financial reporting, or if we identify any additional material weaknesses, the accuracy and timing of our financial reporting may be adversely affected. In addition, investors could lose confidence in our reported financial information, and we could be subject to regulatory scrutiny and to litigation from shareholders, which could have a material adverse effect on our business and the price of our ADSs.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Once we cease to be an “emerging growth company” as such term is defined in the JOBS Act, our independent registered public accounting firm must attest to and report on the effectiveness of our internal control over financial reporting. Our independent registered public accounting firm, after conducting its own independent testing, may issue a report that is adverse if it is not satisfied with our internal controls or the level at which our controls are documented, designed, operated or reviewed, or if it interprets the relevant requirements differently from us. In addition, after we become a public company in the U.S., our reporting obligations may place a significant strain on our management, operational and financial resources and systems for the foreseeable future. We may be unable to timely complete our evaluation testing for internal control over financial reporting and any required remediation.</w:t>
      </w:r>
    </w:p>
    <w:p>
      <w:pPr>
        <w:spacing w:after="0" w:line="19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Upon completion of this registration,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December 22, 2017, the Tax Act was signed into law. The Tax Act, among other things, contains significant changes to corporate taxation, including</w:t>
      </w:r>
    </w:p>
    <w:p>
      <w:pPr>
        <w:spacing w:after="0" w:line="46" w:lineRule="exact"/>
        <w:rPr>
          <w:sz w:val="20"/>
          <w:szCs w:val="20"/>
          <w:color w:val="auto"/>
        </w:rPr>
      </w:pPr>
    </w:p>
    <w:p>
      <w:pPr>
        <w:ind w:left="120" w:right="20" w:hanging="4"/>
        <w:spacing w:after="0" w:line="281"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reduction of the corporate tax rate from a top marginal rate of 35 percent to a flat rate of 21 percent, (ii) limitation of the tax deduction for interest expense to 30 percent of adjusted earnings (except for certain small businesses), (iii) limitation of the deduction for net operating losses to 80 percent of current year taxable income in respect of net operating losses generated during or after 2018 and elimination of net operating loss carrybacks,</w:t>
      </w:r>
    </w:p>
    <w:p>
      <w:pPr>
        <w:spacing w:after="0" w:line="1" w:lineRule="exact"/>
        <w:rPr>
          <w:rFonts w:ascii="Arial" w:cs="Arial" w:eastAsia="Arial" w:hAnsi="Arial"/>
          <w:sz w:val="16"/>
          <w:szCs w:val="16"/>
          <w:color w:val="auto"/>
        </w:rPr>
      </w:pPr>
    </w:p>
    <w:p>
      <w:pPr>
        <w:ind w:left="120" w:right="120" w:hanging="4"/>
        <w:spacing w:after="0" w:line="253" w:lineRule="auto"/>
        <w:tabs>
          <w:tab w:leader="none" w:pos="4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8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March 27, 2020, the “Coronavirus Aid, Relief, and Economic Security Act” or the CARES Act was singed into law, which included certain changes in tax law intended to stimulate the U.S. economy in light of the COVID-19 coronavirus outbreak, including temporary beneficial changes to the treatment of net operating losses, interest deductibility limitations and payroll tax matters.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treated as a U.S. domestic corporation for U.S. federal income tax purposes.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treated as a U.S. domestic corporation for U.S. federal income tax purposes under Section 7874(b) of the Internal Revenue Code of 1986, as amended, or the Code. As a result, we are subject to U.S. income tax on our worldwide income and any dividends paid by us to non-U.S. holders (as defined in the discussion under “Taxation in the United States—Tax Considerations for Non-U.S. Holders”) will be subject to U.S. federal income tax withholding at a 30 percent rate or such lower rate as provided in an applicable treaty. Furthermore, PureTech Health plc is also resident for tax purposes in the U.K. and subject to U.K. corporation tax on its worldwide income and gains. Consequently, we may be liable for both U.S. and U.K. income tax, which could have a material adverse effect on our financial condition and results of operations.</w:t>
      </w:r>
    </w:p>
    <w:p>
      <w:pPr>
        <w:spacing w:after="0" w:line="1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This discussion of certain U.S. federal income tax risks is subject in its entirety to the summaries set forth in “Taxation in the United Kingdom” and “Taxation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As of December 31, 2019, we had U.S. federal and state net operating loss carryforwards, or NOLs, of approximately $243.0 million due to prior period losses, which, subject to the following discussion, are generally available to be carried forward to offset a portion of our future taxable income, if any, until such NOLs are used or expire. In general, under Section 382 of the Code, a corporation that undergoes an “ownership change” is subject to limitations on its ability to utilize its NOLs to offset future taxable income. Similar rules may apply under state tax laws.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Additionally, we may no longer be able to utilize losses of our Founded Entities that have been deconsolidated or that will deconsolidate in the future. Furthermore, our ability to utilize NOLs of companies that we have acquired or may acquire in the future may be subject to limitations. In addition, under the Tax Act, the amount of post 2017 NOLs that we are permitted to deduct in any taxable year is limited to</w:t>
      </w:r>
    </w:p>
    <w:p>
      <w:pPr>
        <w:spacing w:after="0" w:line="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80 percent of our taxable income in such year, where taxable income is determined without regard to the NOL deduction itself. Federal NOLs generated after December 31, 2017 are not subject to expiration and generally may not be carried back to prior taxable years, except that under the CARES Act, NOLs generated in 2018, 2019 and 2020 may be carried back five taxable years. There is also a risk that due to changes under the Tax Act, regulatory changes, such as suspensions on the use of NOLs, or other unforeseen reasons, our existing NOLs could be unavailable to offset future income tax liabilities. For these reasons, we may not be able to realize a tax benefit from the use of our NOLs.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use net operating loss and tax credit carryforwards and certain built-in losses to reduce future U.K. tax liabilities.</w:t>
      </w:r>
    </w:p>
    <w:p>
      <w:pPr>
        <w:spacing w:after="0" w:line="1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As a U.K. incorporated and tax resident entity, PureTech Health plc is subject to U.K. corporate taxation on its tax-adjusted trading profits. Due to the nature of our business, PureTech Health plc has generated losses since inception and therefore we have not paid any U.K. corporation tax.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U.K. operating profits.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tax treatment of the company is subject to changes in tax laws, regulations and treaties, or the interpretation thereof, tax policy initiatives and reforms under consideration and the practices of tax authorities in jurisdictions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303"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HM Revenue &amp; Customs, or HMRC, the Internal Revenue Service or another tax authority could challenge our allocation of income by tax jurisdiction and the amounts paid between certain of our Founded Entities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304"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Shareholder protections found in provisions under the U.K. City Code on Takeovers and Mergers, or the Takeover Code, will not apply if our securities are no longer admitted to trading on a regulated market or a multilateral trading facility in the United Kingdom or on any stock exchange in the Channel Islands or the Isle of Man and our place of management and control is considered to change to outside the United Kingdom.</w:t>
      </w:r>
    </w:p>
    <w:p>
      <w:pPr>
        <w:spacing w:after="0" w:line="2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are registered as a public limited company incorporated in England and Wales and have our ordinary shares admitted to trading on a regulated market in the United Kingdom (being the main market of the LSE).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we have de-listed from the main market of the LSE (and do not maintain a listing of securities on any other regulated market or a multilateral trading facility in the United Kingdom or on any stock exhanage in the Channel Islands or the Isle of Man) and the Panel on Takeovers and Mergers determine that we do not have our place of central management and control in the United Kingdom, then the Takeover Code may not apply to us and our shareholders would not be entitled to the benefit of the various protections that the Takeover Code affords. In particular, we would not be subject to the rules regarding mandatory takeover bids. The following is a brief summary of some of the most important rules of the Takeover Code:</w:t>
      </w:r>
    </w:p>
    <w:p>
      <w:pPr>
        <w:spacing w:after="0" w:line="86" w:lineRule="exact"/>
        <w:rPr>
          <w:sz w:val="20"/>
          <w:szCs w:val="20"/>
          <w:color w:val="auto"/>
        </w:rPr>
      </w:pPr>
    </w:p>
    <w:p>
      <w:pPr>
        <w:ind w:left="1080" w:right="20" w:hanging="424"/>
        <w:spacing w:after="0" w:line="25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percent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9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 any person who, together with persons acting in concert with him or her, is interested in shares representing not less than 30 percent but does not hold more than 50 percent of the voting rights of a company that is subject to the Takeover Code, and such person, or any person acting in concert with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311" w:lineRule="auto"/>
        <w:rPr>
          <w:sz w:val="20"/>
          <w:szCs w:val="20"/>
          <w:color w:val="auto"/>
        </w:rPr>
      </w:pPr>
      <w:r>
        <w:rPr>
          <w:rFonts w:ascii="Arial" w:cs="Arial" w:eastAsia="Arial" w:hAnsi="Arial"/>
          <w:sz w:val="16"/>
          <w:szCs w:val="16"/>
          <w:color w:val="auto"/>
        </w:rPr>
        <w:t>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54" w:lineRule="exact"/>
        <w:rPr>
          <w:sz w:val="20"/>
          <w:szCs w:val="20"/>
          <w:color w:val="auto"/>
        </w:rPr>
      </w:pPr>
    </w:p>
    <w:p>
      <w:pPr>
        <w:ind w:left="1080" w:right="180" w:hanging="424"/>
        <w:spacing w:after="0" w:line="286"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70" w:lineRule="exact"/>
        <w:rPr>
          <w:rFonts w:ascii="Arial" w:cs="Arial" w:eastAsia="Arial" w:hAnsi="Arial"/>
          <w:sz w:val="17"/>
          <w:szCs w:val="17"/>
          <w:color w:val="auto"/>
        </w:rPr>
      </w:pPr>
    </w:p>
    <w:p>
      <w:pPr>
        <w:ind w:left="1080" w:right="80" w:hanging="424"/>
        <w:spacing w:after="0" w:line="273"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relation to a voluntary offer (i.e. any offer which is not a mandatory offer), when interests in shares representing 10 percent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83"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offeror acquires an interest in shares in an offeree company (i.e., a target) at a price higher than the value of the offer, the offer must be increased to not less than the highest price paid for the interest in shares so acquired;</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offeree company must obtain competent advice as to whether the terms of any offer are fair and reasonable and the substance of such advice must be made known to all the shareholders, together with the opinion of the board of directors of the offeree company;</w:t>
      </w:r>
    </w:p>
    <w:p>
      <w:pPr>
        <w:spacing w:after="0" w:line="29" w:lineRule="exact"/>
        <w:rPr>
          <w:rFonts w:ascii="Arial" w:cs="Arial" w:eastAsia="Arial" w:hAnsi="Arial"/>
          <w:sz w:val="16"/>
          <w:szCs w:val="16"/>
          <w:color w:val="auto"/>
        </w:rPr>
      </w:pPr>
    </w:p>
    <w:p>
      <w:pPr>
        <w:ind w:left="1080" w:right="46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89"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percent or more of any class of relevant securities; and</w:t>
      </w:r>
    </w:p>
    <w:p>
      <w:pPr>
        <w:spacing w:after="0" w:line="89"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We are incorporated under the laws of England and Wales. The rights of holders of ordinary shares and, therefore, certain of the rights of holders of ADSs, are governed by English law, including the provisions of the U.K. Companies Act, or the Companies Act, and by our Articles of Association. These rights differ in certain respects from the rights of shareholders in typical U.S. corporations. See “Description of Share Capital and Articles of Association—Differences in Corporate Law” in this registration statement for a description of the principal differences between the provisions of the Companies Act applicable to us and, for example, the Delaware General Corporation Law relating to shareholders’ rights and protections.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differences include the following:</w:t>
      </w:r>
    </w:p>
    <w:p>
      <w:pPr>
        <w:spacing w:after="0" w:line="131" w:lineRule="exact"/>
        <w:rPr>
          <w:sz w:val="20"/>
          <w:szCs w:val="20"/>
          <w:color w:val="auto"/>
        </w:rPr>
      </w:pPr>
    </w:p>
    <w:p>
      <w:pPr>
        <w:jc w:val="both"/>
        <w:ind w:left="1080" w:hanging="424"/>
        <w:spacing w:after="0" w:line="31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when voting by a show of hands unless demand is made for a vote on a poll, in which case each holder gets one vote per share owned. The Company usually conducts all of its shareholder votes on a poll. Under U.S. law, each shareholder typically is entitled to one vote per share at all meetings;</w:t>
      </w:r>
    </w:p>
    <w:p>
      <w:pPr>
        <w:spacing w:after="0" w:line="54" w:lineRule="exact"/>
        <w:rPr>
          <w:rFonts w:ascii="Arial" w:cs="Arial" w:eastAsia="Arial" w:hAnsi="Arial"/>
          <w:sz w:val="16"/>
          <w:szCs w:val="16"/>
          <w:color w:val="auto"/>
        </w:rPr>
      </w:pPr>
    </w:p>
    <w:p>
      <w:pPr>
        <w:ind w:left="1080" w:right="22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080" w:right="30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percent of the shareholders who vote (in person or by proxy) on the relevant resolution (or on a poll of shareholders representing 75 percent of the ordinary shares voting (in person or by proxy)), including amendments to the articles of association. This may make it more difficult for us to complete certain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for so long as we continue to be subject to the Takeover Code, a bidder seeking to acquire us by means of a takeover offer would need to make an offer for all of our outstanding ordinary shares/ADSs. If acceptances are not received for 90 percent or more of the ordinary shares/ADSs under the offer, under English law, the bidder cannot complete a “squeeze out” to obtain 100 percent control of us. Accordingly, acceptances of</w:t>
      </w:r>
    </w:p>
    <w:p>
      <w:pPr>
        <w:spacing w:after="0" w:line="1" w:lineRule="exact"/>
        <w:rPr>
          <w:rFonts w:ascii="Arial" w:cs="Arial" w:eastAsia="Arial" w:hAnsi="Arial"/>
          <w:sz w:val="16"/>
          <w:szCs w:val="16"/>
          <w:color w:val="auto"/>
        </w:rPr>
      </w:pPr>
    </w:p>
    <w:p>
      <w:pPr>
        <w:ind w:left="1080" w:right="40"/>
        <w:spacing w:after="0" w:line="273" w:lineRule="auto"/>
        <w:rPr>
          <w:rFonts w:ascii="Arial" w:cs="Arial" w:eastAsia="Arial" w:hAnsi="Arial"/>
          <w:sz w:val="16"/>
          <w:szCs w:val="16"/>
          <w:color w:val="auto"/>
        </w:rPr>
      </w:pPr>
      <w:r>
        <w:rPr>
          <w:rFonts w:ascii="Arial" w:cs="Arial" w:eastAsia="Arial" w:hAnsi="Arial"/>
          <w:sz w:val="17"/>
          <w:szCs w:val="17"/>
          <w:color w:val="auto"/>
        </w:rPr>
        <w:t>90 percent of our outstanding ordinary shares/ADSs will likely be a condition in any takeover offer to acquire us, not 50 percent as is more common in tender offers for corporations organized under Delaware law. By contrast, a scheme of arrangement, the successful completion of which would result in a bidder obtaining 100 percent control of us, requires the approval of a majority of shareholders voting at the meeting and representing 75 percent of the ordinary shares voting for approval;</w:t>
      </w:r>
    </w:p>
    <w:p>
      <w:pPr>
        <w:spacing w:after="0" w:line="81" w:lineRule="exact"/>
        <w:rPr>
          <w:rFonts w:ascii="Arial" w:cs="Arial" w:eastAsia="Arial" w:hAnsi="Arial"/>
          <w:sz w:val="16"/>
          <w:szCs w:val="16"/>
          <w:color w:val="auto"/>
        </w:rPr>
      </w:pPr>
    </w:p>
    <w:p>
      <w:pPr>
        <w:ind w:left="1080" w:right="100" w:hanging="424"/>
        <w:spacing w:after="0" w:line="25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9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20"/>
          </w:cols>
          <w:pgMar w:left="320" w:top="459" w:right="6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were incorporated and registered under the laws of England and Wales with the Registrar of Companies of England and Wales, United Kingdom in May 2015 as “PureTech Health plc.” Our predecessor entity, PureTech Health LLC, or our Predecessor Entity, commenced formal operations and began engaging in initial sourcing activities in 2004, raising its first financing round greater than $5 million in the same year. The Predecessor Entity was acquired by PureTech Health plc on June 18, 2015 in a reorganization completed in connection with our initial public offering on the London Stock Exchange. The Predecessor Entity is now a wholly-owned subsidiary of PureTech Health plc. Our registered office is situated at 8th Floor, 20 Farringdon Street, London EC4A 4AB, United Kingdom, and our telephone number is +(1) 617 482 2333. Our U.S. operations are conducted by our wholly-owned subsidiary PureTech Health LLC, a Delaware limited liability company. Our ordinary shares have traded on the main market of the London Stock Exchange, since June 2015. Our agent for service of process in the United States is PureTech Health LLC located at 6 Tide Street, Suite 400, Boston, Massachusetts 02210 where our corporate headquarters and laboratories are located. Our website address is http://puretechhealth.com. The reference to our website is an inactive textual reference only and information contained in, or that can be accessed through, our website or any other website cited in this registration statement is not part of hereof.</w:t>
      </w:r>
    </w:p>
    <w:p>
      <w:pPr>
        <w:spacing w:after="0" w:line="18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Unless the context specifically indicates otherwise, references in this to our “Wholly Owned Programs” refer to LYT-100, LYT-200, LYT-210 and LYT-300 as well as our three discovery platforms, and “Wholly Owned product candidates” and “Wholly Owned Pipeline” refer to LYT-100, LYT-200, LYT-210 and LYT-300. References in this registration statement to our “Founded Entities” refer to the entities that we founded and in which we continue to hold equity. Our Founded Entities are comprised of our Controlled Founded Entities and our Non-Controlled Founded Entities. Anywhere our Founded Entities (or subsets thereof) are listed in this registration statement, we have ordered them by stage of development. References in this registration statement to our “Controlled Founded Entities” refer to Follica, Incorporated, Vedanta Biosciences, Inc., Sonde Health, Inc., Alivio Therapeutics, Inc. and Entrega, Inc. References in this registration statement to our “Non-Controlled Founded Entities” refer to Gelesis, Inc., Karuna Therapeutics, Inc., Akili Interactive Labs, Inc., Vor Biopharma Inc., and, for all periods prior to December 18, 2019, resTORbio, Inc. We formed each of our Founded Entities and have been involved in development efforts in varying degrees. In the case of each of our Controlled Founded Entities, we continue to maintain majority voting control. With respect to our Non-Controlled Founded Entities, we may benefit from appreciation in our investment as a shareholder of such companies. Additional information regarding the accounting treatment of our Founded Entities is included under the heading “Management’s Discussion and Analysis of Financial Condition and Results of Operations” and in our consolidated financial statements included in this registration statement. All references to our parent entity refer to PureTech Health plc.</w:t>
      </w:r>
    </w:p>
    <w:p>
      <w:pPr>
        <w:spacing w:after="0" w:line="331" w:lineRule="exact"/>
        <w:rPr>
          <w:sz w:val="20"/>
          <w:szCs w:val="20"/>
          <w:color w:val="auto"/>
        </w:rPr>
      </w:pPr>
    </w:p>
    <w:p>
      <w:pPr>
        <w:ind w:left="120" w:right="8640" w:hanging="4"/>
        <w:spacing w:after="0" w:line="378" w:lineRule="auto"/>
        <w:tabs>
          <w:tab w:leader="none" w:pos="5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ind w:left="120" w:right="80"/>
        <w:spacing w:after="0" w:line="273" w:lineRule="auto"/>
        <w:rPr>
          <w:sz w:val="20"/>
          <w:szCs w:val="20"/>
          <w:color w:val="auto"/>
        </w:rPr>
      </w:pPr>
      <w:r>
        <w:rPr>
          <w:rFonts w:ascii="Arial" w:cs="Arial" w:eastAsia="Arial" w:hAnsi="Arial"/>
          <w:sz w:val="17"/>
          <w:szCs w:val="17"/>
          <w:color w:val="auto"/>
        </w:rPr>
        <w:t>We are a clinical-stage biotherapeutics company dedicated to discovering, developing and commercializing highly differentiated medicines for devastating diseases, including inflammatory and immunological conditions, intractable cancers, lymphatic and gastrointestinal diseases and neurological and neuropsychological disorders, among others. The product candidates within our Wholly Owned Pipeline and the products and product candidates being developed by our Founded Entities were initiated by our experienced research and development team and our extensive network of scientists, clinicians and industry leaders. These products and product candidates are protected by a growing intellectual property portfolio of more than 600 patents and patent applications, of which more than 200 are issued.</w:t>
      </w:r>
    </w:p>
    <w:p>
      <w:pPr>
        <w:spacing w:after="0" w:line="17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established the underlying programs and platforms that have resulted in 24 products and product candidates that are being advanced within our Wholly Owned Programs or by our Founded Entities. Of these products and product candidates, 12 are clinical-stage and two have been cleared by the U.S. Food and Drug Administration, or FDA, and granted marketing authorization in the European Economic Area, or EEA, and in other countries that recognize the CE Mark. Our Non-Controlled Founded Entities are advancing eight of these product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candidates, including two that are expected to enter Phase 3/Pivotal studies, as well as two FDA-cleared products. Our Controlled Founded Entities are advancing nine of these product candidates, including one that is expected to enter a Phase 3 study and three that are in Phase 2 development, and we are advancing four of these product candidates within our Wholly Owned Pipeline. We and our Founded Entities have relationships with several pharmaceutical companies or their investment arms to advance some of the underlying programs and platforms.</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All of these underlying programs and platforms were initially identified or discovered and then advanced by our team through key validation points based on our unique insights into the biology of the </w:t>
      </w:r>
      <w:r>
        <w:rPr>
          <w:rFonts w:ascii="Arial" w:cs="Arial" w:eastAsia="Arial" w:hAnsi="Arial"/>
          <w:sz w:val="17"/>
          <w:szCs w:val="17"/>
          <w:u w:val="single" w:color="auto"/>
          <w:color w:val="auto"/>
        </w:rPr>
        <w:t>B</w:t>
      </w:r>
      <w:r>
        <w:rPr>
          <w:rFonts w:ascii="Arial" w:cs="Arial" w:eastAsia="Arial" w:hAnsi="Arial"/>
          <w:sz w:val="17"/>
          <w:szCs w:val="17"/>
          <w:color w:val="auto"/>
        </w:rPr>
        <w:t xml:space="preserve">rain, </w:t>
      </w:r>
      <w:r>
        <w:rPr>
          <w:rFonts w:ascii="Arial" w:cs="Arial" w:eastAsia="Arial" w:hAnsi="Arial"/>
          <w:sz w:val="17"/>
          <w:szCs w:val="17"/>
          <w:u w:val="single" w:color="auto"/>
          <w:color w:val="auto"/>
        </w:rPr>
        <w:t>I</w:t>
      </w:r>
      <w:r>
        <w:rPr>
          <w:rFonts w:ascii="Arial" w:cs="Arial" w:eastAsia="Arial" w:hAnsi="Arial"/>
          <w:sz w:val="17"/>
          <w:szCs w:val="17"/>
          <w:color w:val="auto"/>
        </w:rPr>
        <w:t xml:space="preserve">mmune and </w:t>
      </w:r>
      <w:r>
        <w:rPr>
          <w:rFonts w:ascii="Arial" w:cs="Arial" w:eastAsia="Arial" w:hAnsi="Arial"/>
          <w:sz w:val="17"/>
          <w:szCs w:val="17"/>
          <w:u w:val="single" w:color="auto"/>
          <w:color w:val="auto"/>
        </w:rPr>
        <w:t>G</w:t>
      </w:r>
      <w:r>
        <w:rPr>
          <w:rFonts w:ascii="Arial" w:cs="Arial" w:eastAsia="Arial" w:hAnsi="Arial"/>
          <w:sz w:val="17"/>
          <w:szCs w:val="17"/>
          <w:color w:val="auto"/>
        </w:rPr>
        <w:t>ut, or BIG, systems and the interface between those systems, which we refer to as the BIG Axis. The architectural framework supporting BIG Axis cross-talk is built on evidence highlighting the presence of 70 percent of the entire immune cell population in the gut, approximately 500 million neurons innervating the gastrointestinal, or GI, tract, enteric neurons as part of the autonomic nervous system and key components such as the gut epithelial barrier, microbiome, metabolites and neurotransmitters that play key roles in protecting and influencing the immune system and central nervous system, or CNS.</w:t>
      </w:r>
    </w:p>
    <w:p>
      <w:pPr>
        <w:spacing w:after="0" w:line="178"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We are led by a proven and seasoned management team of business leaders with significant experience in discovering and developing important new medicines, delivering them to market and maximizing shareholder value. Collectively, the members of our management team have overseen research and development of products supporting 23 regulatory approvals and have been in the C-suite of companies acquired for more than $13 billion in the aggregate.</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team, network and expertise in the BIG Axis enable us to identify and advance the latest scientific discoveries at the interface of the BIG systems. We begin by collaborating with a cross-disciplinary group of experienced clinicians and the world’s leading experts in brain, immune and gut biology in a discovery process that breaks down specific diseases and comprehensively identifies, reviews and empirically tests unpublished scientific discoveries in a modality agnostic and unbiased way. Our model, which employs (1) this collaborative process leveraging our biological expertise in the BIG axis and our scientific network, (2) a disciplined approach to program advancement, and (3) a capital efficient approach to driving clinical developments and value creation, has enabled us to rapidly convert these findings into valuable therapeutic product candidates.</w:t>
      </w:r>
    </w:p>
    <w:p>
      <w:pPr>
        <w:spacing w:after="0" w:line="17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Historically, we have developed these programs and product candidates with strategic allies, including equity partners who helped us to advance those programs via our Founded Entities. As these programs have succeeded and our resources have grown, we have increasingly focused on our Wholly Owned Programs. Our Wholly Owned Programs are designed to harness key immunological and lymphatic system mechanisms. They currently consist of LYT-100, a clinical-stage product candidate we are pursuing for conditions involving inflammation and fibrosis and disorders of lymphatic flow, LYT-200 and LYT-210, two preclinical product candidates targeting foundational immunomodulatory mechanisms we are developing to treat cancer and other immunological disorders, and LYT-300, a preclinical product candidate we are developing for a range of neurological and neuropsychological conditions. Our Wholly Owned Programs also include three discovery programs: Glyph</w:t>
      </w:r>
      <w:r>
        <w:rPr>
          <w:rFonts w:ascii="Arial" w:cs="Arial" w:eastAsia="Arial" w:hAnsi="Arial"/>
          <w:sz w:val="14"/>
          <w:szCs w:val="14"/>
          <w:color w:val="auto"/>
        </w:rPr>
        <w:t>TM</w:t>
      </w:r>
      <w:r>
        <w:rPr>
          <w:rFonts w:ascii="Arial" w:cs="Arial" w:eastAsia="Arial" w:hAnsi="Arial"/>
          <w:sz w:val="17"/>
          <w:szCs w:val="17"/>
          <w:color w:val="auto"/>
        </w:rPr>
        <w:t>—our synthetic lymphatic targeting chemistry platform—and Orasome</w:t>
      </w:r>
      <w:r>
        <w:rPr>
          <w:rFonts w:ascii="Arial" w:cs="Arial" w:eastAsia="Arial" w:hAnsi="Arial"/>
          <w:sz w:val="14"/>
          <w:szCs w:val="14"/>
          <w:color w:val="auto"/>
        </w:rPr>
        <w:t>TM</w:t>
      </w:r>
      <w:r>
        <w:rPr>
          <w:rFonts w:ascii="Arial" w:cs="Arial" w:eastAsia="Arial" w:hAnsi="Arial"/>
          <w:sz w:val="17"/>
          <w:szCs w:val="17"/>
          <w:color w:val="auto"/>
        </w:rPr>
        <w:t>—our oral biotherapeutics platform—both of which leverage absorption of dietary lipids to traffic therapeutics via the lymphatic system, and our meningeal lymphatics discovery research program for treating neurodegenerative diseases.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Value</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table below depicts the four components of our value: (1) our Wholly Owned Pipeline, (2) Founded Entities that we have a controlling interest in or from which we are entitled to receive royalty payments, (3) Founded Entities where our interest is limited to our equity ownership and (4) our available cash, cash equivalents and short-term investments at the parent level.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hold majority voting control of our Controlled Founded Entities and continue to play a role in the development of their product candidates through representation on their board of directors, with respect to Follica, Vedanta, Alivio and Sonde. Our board designees represent a majority of the members of the board of directors of Follica, Vedanta and Alivio and a minority of the members of the board of directors of Sonde. With respect to our Non-Controlled Founded Entities, we do not hold majority equity ownership and are not responsible for the development or commercialization of their product candidates and FDA-cleared products. Our Non-Controlled Founded Entities have independent management teams, and we do not control the day-to-day development of their respective product candidates.</w:t>
      </w:r>
    </w:p>
    <w:p>
      <w:pPr>
        <w:spacing w:after="0" w:line="178" w:lineRule="exact"/>
        <w:rPr>
          <w:sz w:val="20"/>
          <w:szCs w:val="20"/>
          <w:color w:val="auto"/>
        </w:rPr>
      </w:pPr>
    </w:p>
    <w:p>
      <w:pPr>
        <w:ind w:left="120" w:right="280" w:hanging="4"/>
        <w:spacing w:after="0" w:line="311" w:lineRule="auto"/>
        <w:tabs>
          <w:tab w:leader="none" w:pos="375"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Wholly Owned Pipeline</w:t>
      </w:r>
      <w:r>
        <w:rPr>
          <w:rFonts w:ascii="Arial" w:cs="Arial" w:eastAsia="Arial" w:hAnsi="Arial"/>
          <w:sz w:val="16"/>
          <w:szCs w:val="16"/>
          <w:color w:val="auto"/>
        </w:rPr>
        <w:t>. We are focused on the advancement of our Wholly Owned Pipeline and delivering value to our shareholders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driving our Wholly Owned Programs to key clinical and commercial milestones, while continuing cutting edge research and development efforts to discover and advance new product candidates. The table below includes a summary of our Wholly Owned Programs and their development status.</w:t>
      </w:r>
    </w:p>
    <w:p>
      <w:pPr>
        <w:spacing w:after="0" w:line="148" w:lineRule="exact"/>
        <w:rPr>
          <w:rFonts w:ascii="Arial" w:cs="Arial" w:eastAsia="Arial" w:hAnsi="Arial"/>
          <w:sz w:val="16"/>
          <w:szCs w:val="16"/>
          <w:b w:val="1"/>
          <w:bCs w:val="1"/>
          <w:i w:val="1"/>
          <w:iCs w:val="1"/>
          <w:color w:val="auto"/>
        </w:rPr>
      </w:pPr>
    </w:p>
    <w:p>
      <w:pPr>
        <w:ind w:left="120" w:hanging="4"/>
        <w:spacing w:after="0" w:line="296" w:lineRule="auto"/>
        <w:tabs>
          <w:tab w:leader="none" w:pos="375"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Founded Entities with Controlling Interest or Right to Receive Royalties. </w:t>
      </w:r>
      <w:r>
        <w:rPr>
          <w:rFonts w:ascii="Arial" w:cs="Arial" w:eastAsia="Arial" w:hAnsi="Arial"/>
          <w:sz w:val="16"/>
          <w:szCs w:val="16"/>
          <w:color w:val="auto"/>
        </w:rPr>
        <w:t>The table below summarizes, in order of development stage, the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being developed by our Founded Entities in which we either have a controlling interest or the right to receive royalty payments. We established the underlying programs and platforms that have resulted in the product candidates noted in the table and advanced them through key validation points. Each of these product candidates targets indications related to one or more of the BIG systems, and any value we realize from these product candidates will be through the potential growth and realization of equity and royalty stakes highlighted in the table below.</w:t>
      </w:r>
    </w:p>
    <w:p>
      <w:pPr>
        <w:spacing w:after="0" w:line="161" w:lineRule="exact"/>
        <w:rPr>
          <w:rFonts w:ascii="Arial" w:cs="Arial" w:eastAsia="Arial" w:hAnsi="Arial"/>
          <w:sz w:val="16"/>
          <w:szCs w:val="16"/>
          <w:b w:val="1"/>
          <w:bCs w:val="1"/>
          <w:i w:val="1"/>
          <w:iCs w:val="1"/>
          <w:color w:val="auto"/>
        </w:rPr>
      </w:pPr>
    </w:p>
    <w:p>
      <w:pPr>
        <w:ind w:left="120" w:right="360" w:hanging="4"/>
        <w:spacing w:after="0" w:line="263" w:lineRule="auto"/>
        <w:tabs>
          <w:tab w:leader="none" w:pos="375"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Founded Entities Limited to Equity Interest. </w:t>
      </w:r>
      <w:r>
        <w:rPr>
          <w:rFonts w:ascii="Arial" w:cs="Arial" w:eastAsia="Arial" w:hAnsi="Arial"/>
          <w:sz w:val="18"/>
          <w:szCs w:val="18"/>
          <w:color w:val="auto"/>
        </w:rPr>
        <w:t>We also hold equity ownership in our Non-Controlled Founded Entities, Akili and Vor. The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describes these entities, in order of development stage. Our interest in the product candidates of these entities is limited to the potential appreciation of our equity interest in these entities.</w:t>
      </w:r>
    </w:p>
    <w:p>
      <w:pPr>
        <w:spacing w:after="0" w:line="183" w:lineRule="exact"/>
        <w:rPr>
          <w:rFonts w:ascii="Arial" w:cs="Arial" w:eastAsia="Arial" w:hAnsi="Arial"/>
          <w:sz w:val="18"/>
          <w:szCs w:val="18"/>
          <w:b w:val="1"/>
          <w:bCs w:val="1"/>
          <w:i w:val="1"/>
          <w:iCs w:val="1"/>
          <w:color w:val="auto"/>
        </w:rPr>
      </w:pPr>
    </w:p>
    <w:p>
      <w:pPr>
        <w:ind w:left="120" w:right="700" w:hanging="4"/>
        <w:spacing w:after="0" w:line="277" w:lineRule="auto"/>
        <w:tabs>
          <w:tab w:leader="none" w:pos="375"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Cash Equivalents and Short-Term Investments. </w:t>
      </w:r>
      <w:r>
        <w:rPr>
          <w:rFonts w:ascii="Arial" w:cs="Arial" w:eastAsia="Arial" w:hAnsi="Arial"/>
          <w:sz w:val="18"/>
          <w:szCs w:val="18"/>
          <w:color w:val="auto"/>
        </w:rPr>
        <w:t>At the parent level, PureTech Health plc had cash, cash equivalents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of $387.2 million as of September 30, 2020.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320" w:top="459"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205740</wp:posOffset>
            </wp:positionV>
            <wp:extent cx="4603115" cy="6737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03115"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139"/>
          </w:cols>
          <w:pgMar w:left="32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Relevant ownership interests for Founded Entities were calculated on a diluted basis (as opposed to a voting basis) as of June 30, 2020, including outstanding shares, options and warrants, but excluding unallocated shares authorized to be issued pursuant to equity incentive plans. Ownership of Vor is based on the assumption that all future tranches of the most recent financing round are funded. Karuna ownership is calculated on an outstanding voting share basis as of August 26, 2020.</w:t>
      </w:r>
    </w:p>
    <w:p>
      <w:pPr>
        <w:spacing w:after="0" w:line="11"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letters next to the product candidates denote whether the product candidate is a pharmaceutical product (P), biologic (B), or device (D).</w:t>
      </w:r>
    </w:p>
    <w:p>
      <w:pPr>
        <w:spacing w:after="0" w:line="72" w:lineRule="exact"/>
        <w:rPr>
          <w:rFonts w:ascii="Arial" w:cs="Arial" w:eastAsia="Arial" w:hAnsi="Arial"/>
          <w:sz w:val="16"/>
          <w:szCs w:val="16"/>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These product candidates are regulated as devices and their development has been approximately equated to phases of clinical development.</w:t>
      </w:r>
    </w:p>
    <w:p>
      <w:pPr>
        <w:spacing w:after="0" w:line="73" w:lineRule="exact"/>
        <w:rPr>
          <w:sz w:val="20"/>
          <w:szCs w:val="20"/>
          <w:color w:val="auto"/>
        </w:rPr>
      </w:pPr>
    </w:p>
    <w:p>
      <w:pPr>
        <w:ind w:left="660" w:hanging="544"/>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PureTech Health has a right to royalty payments as a percentage of net sales. For a description of these agreements, see “Business—Overview.”</w:t>
      </w:r>
    </w:p>
    <w:p>
      <w:pPr>
        <w:spacing w:after="0" w:line="73" w:lineRule="exact"/>
        <w:rPr>
          <w:sz w:val="20"/>
          <w:szCs w:val="20"/>
          <w:color w:val="auto"/>
        </w:rPr>
      </w:pPr>
    </w:p>
    <w:p>
      <w:pPr>
        <w:ind w:left="660" w:right="140" w:hanging="544"/>
        <w:spacing w:after="0" w:line="25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Important Safety Information: Plenity is contraindicated in patients who are pregnant or are allergic to cellulose, citric acid, sodium stearyl fumarate, gelatine, or titanium dioxide. Plenity may alter the absorption of medications. Read Sections 6 and 8.3 of the Instructions for Use carefully. Avoid use in patients with the following conditions: esophageal anatomic anomalies, including webs, diverticuli, and rings; suspected strictures (such as patients with Crohn’s disease); or complications from prior gastrointestinal (GI) surgery that could affect GI transit and motility. Use with caution in patients with active GI conditions such as gastro-esophageal reflux disease (GERD), ulcers or heartburn. The overall incidence of adverse events (AEs) in the Plenity group was no different than the placebo group. The most common side effects were diarrhea, distended abdomen, infrequent bowel movements, and flatulence. For the safe and proper use of Plenity, U.S. Instructions for Use or the EU Instructions for Use.</w:t>
      </w:r>
    </w:p>
    <w:p>
      <w:pPr>
        <w:spacing w:after="0" w:line="16" w:lineRule="exact"/>
        <w:rPr>
          <w:rFonts w:ascii="Arial" w:cs="Arial" w:eastAsia="Arial" w:hAnsi="Arial"/>
          <w:sz w:val="18"/>
          <w:szCs w:val="18"/>
          <w:color w:val="auto"/>
        </w:rPr>
      </w:pPr>
    </w:p>
    <w:p>
      <w:pPr>
        <w:ind w:left="660" w:hanging="54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Contingent on FDA review of the research plan.</w:t>
      </w:r>
    </w:p>
    <w:p>
      <w:pPr>
        <w:spacing w:after="0" w:line="50"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Long COVID is a term being used to describe the emerging and persistent complications following the resolution of COVID-19 infection.</w:t>
      </w:r>
    </w:p>
    <w:p>
      <w:pPr>
        <w:spacing w:after="0" w:line="61" w:lineRule="exact"/>
        <w:rPr>
          <w:sz w:val="20"/>
          <w:szCs w:val="20"/>
          <w:color w:val="auto"/>
        </w:rPr>
      </w:pPr>
    </w:p>
    <w:p>
      <w:pPr>
        <w:ind w:left="660" w:right="240" w:hanging="54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PureTech Level Cash Reserves at September 30, 2020 represent cash balances and short-term investments held at PureTech Health LLC, PureTech Management, Inc., PureTech Health PLC, PureTech Securities Corporation of $372.0 million and held at PureTech LYT Inc., our internal pipeline, of $15.2 million, all of which are wholly owned entities of PureTech, excluding cash balances and short-term investments of $38.3 million held at Controlled Founded Entities which are not wholly owned.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Pipeline Components and Expected Milestones Through 2021</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Through 2021, we anticipate many significant potential milestones across our Wholly Owned Programs and Founded Entities, including at least nine clinical readouts, at least 12 clinical study initiations and the full commercial rollout of two products. Of these, four clinical readouts and four clinical study initiations are anticipated within our Wholly Owned Programs. Additionally, we expect the continued progress of discovery and preclinical programs, as well as the potential for additional strategic partnerships and transactions and the growth of value through our equity and royalty holdings in our Founded Entities. Our Wholly Owned Programs and certain of our Founded Entities’ programs that contribute to our value are as follows: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Wholly Owned Programs Harnessing Immunological and Lymphatic System Mechanisms:</w:t>
      </w:r>
    </w:p>
    <w:p>
      <w:pPr>
        <w:spacing w:after="0" w:line="127" w:lineRule="exact"/>
        <w:rPr>
          <w:sz w:val="20"/>
          <w:szCs w:val="20"/>
          <w:color w:val="auto"/>
        </w:rPr>
      </w:pPr>
    </w:p>
    <w:p>
      <w:pPr>
        <w:ind w:left="1080" w:right="20" w:hanging="424"/>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LYT-100, Our Lead Clinical-Stage Product Candidate Targeting a Range of Inflammatory, Fibrotic, Lymphatic Flow Disorders, and Other Related Indications: </w:t>
      </w:r>
      <w:r>
        <w:rPr>
          <w:rFonts w:ascii="Arial" w:cs="Arial" w:eastAsia="Arial" w:hAnsi="Arial"/>
          <w:sz w:val="17"/>
          <w:szCs w:val="17"/>
          <w:color w:val="auto"/>
        </w:rPr>
        <w:t>We are advancing our wholly-owned product candidate LYT-100 for the potential treatment of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involving inflammation and fibrosis and disorders of lymphatic flow, including lung dysfunction conditions (e.g., idiopathic pulmonary fibrosis, or IPF, unclassifiable interstitial lung diseases, or uILDs, and Long COVID respiratory complications and related sequelae) and lymphedema. LYT-100 is currently being evaluated in a multiple ascending dose Phase 1 clinical trial, which we expect data to readout in the second half of 2020. We intend to commence a proof-of-concept, or POC, study in patients with breast cancer related, upper limb secondary lymphedema in the second half of 2020, with topline results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anticipated in the second half of 2021. We also intend to commence a Phase 2 study in Long COVID respiratory complications and related sequelae in the second half of 2020, with a potential readout in the second half of 2021. We also intend to explore the application of other potential new product candidates from our meningeal lymphatics platform for a range of neurodegenerative diseases. We are conducting a Phase 1 trial and plan to conduct Phase 2 and POC trials for LYT-100 outside of the United States and are following the applicable regulatory requirements in this jurisdiction. We intend to file an Investigational New Drug Application, or IND, with the FDA for LYT-100 prior to initiating a trial in the United States.</w:t>
      </w:r>
    </w:p>
    <w:p>
      <w:pPr>
        <w:spacing w:after="0" w:line="94" w:lineRule="exact"/>
        <w:rPr>
          <w:sz w:val="20"/>
          <w:szCs w:val="20"/>
          <w:color w:val="auto"/>
        </w:rPr>
      </w:pPr>
    </w:p>
    <w:p>
      <w:pPr>
        <w:ind w:left="1080" w:hanging="424"/>
        <w:spacing w:after="0" w:line="29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LYT-200 and LYT-210, Two Preclinical Immuno-Oncology, or IO, Product Candidates Harnessing Key Immune Cell Trafficking and Programming Mechanisms: </w:t>
      </w:r>
      <w:r>
        <w:rPr>
          <w:rFonts w:ascii="Arial" w:cs="Arial" w:eastAsia="Arial" w:hAnsi="Arial"/>
          <w:sz w:val="16"/>
          <w:szCs w:val="16"/>
          <w:color w:val="auto"/>
        </w:rPr>
        <w:t>The lymphatic system plays a crucial role in programming immune cells for precise functions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trafficking them to specific tissues. By modulating immune cell trafficking and programming, we are developing product candidates for the potential treatment of cancer and other immunological disorders. We are advancing LYT-200, targeting galectin-9, for a range of cancer indications, and LYT-210, targeting immunomodulatory gamma delta-1, or gd1, T cells, for a range of cancer indications and autoimmune disorders. We intend to file an IND for LYT-200 and initiate a Phase 1 clinical trial in solid tumors in the second half of 2020, with results anticipated in 2021. We also intend to advance additional preclinical and biomarker studies for LYT-210 in 2021.</w:t>
      </w:r>
    </w:p>
    <w:p>
      <w:pPr>
        <w:spacing w:after="0" w:line="66" w:lineRule="exact"/>
        <w:rPr>
          <w:rFonts w:ascii="Arial" w:cs="Arial" w:eastAsia="Arial" w:hAnsi="Arial"/>
          <w:sz w:val="16"/>
          <w:szCs w:val="16"/>
          <w:color w:val="auto"/>
        </w:rPr>
      </w:pPr>
    </w:p>
    <w:p>
      <w:pPr>
        <w:ind w:left="1080" w:right="360" w:hanging="424"/>
        <w:spacing w:after="0" w:line="261"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LYT-300, Preclinical Product Candidate Developed Using our Glyph</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Technology Platform, Targeting Neurological and Neuropsychological Conditions: </w:t>
      </w:r>
      <w:r>
        <w:rPr>
          <w:rFonts w:ascii="Arial" w:cs="Arial" w:eastAsia="Arial" w:hAnsi="Arial"/>
          <w:sz w:val="18"/>
          <w:szCs w:val="18"/>
          <w:color w:val="auto"/>
        </w:rPr>
        <w:t>The most advanced product candidate from our Glyph technology platform is LYT-300 (oral</w:t>
      </w:r>
      <w:r>
        <w:rPr>
          <w:rFonts w:ascii="Arial" w:cs="Arial" w:eastAsia="Arial" w:hAnsi="Arial"/>
          <w:sz w:val="18"/>
          <w:szCs w:val="18"/>
          <w:b w:val="1"/>
          <w:bCs w:val="1"/>
          <w:color w:val="auto"/>
        </w:rPr>
        <w:t xml:space="preserve"> </w:t>
      </w:r>
      <w:r>
        <w:rPr>
          <w:rFonts w:ascii="Arial" w:cs="Arial" w:eastAsia="Arial" w:hAnsi="Arial"/>
          <w:sz w:val="18"/>
          <w:szCs w:val="18"/>
          <w:color w:val="auto"/>
        </w:rPr>
        <w:t>allopregnanolone), which is being evaluated in a preclinical setting for a range of neurological and neuropsychological conditions. We expect to initiate a first-in-human clinical trial with LYT-300 by the end of 2021.</w:t>
      </w:r>
    </w:p>
    <w:p>
      <w:pPr>
        <w:spacing w:after="0" w:line="85"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Our Discovery Platforms – Glyph (Lymphatic Targeting Chemistry Platform) and Orasome</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(Oral Biotherapeutics Platform) – Leveraging Absorption of Dietary Lipids to Traffic Therapeutics via the Lymphatic System: </w:t>
      </w:r>
      <w:r>
        <w:rPr>
          <w:rFonts w:ascii="Arial" w:cs="Arial" w:eastAsia="Arial" w:hAnsi="Arial"/>
          <w:sz w:val="18"/>
          <w:szCs w:val="18"/>
          <w:color w:val="auto"/>
        </w:rPr>
        <w:t>We are harnessing the role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lymphatic system in the absorption of dietary lipids to orally administer and traffic therapeutics via the lymphatic system. Our Glyph and Orasome technology platforms are based on this key function of the lymphatic system. We expect preclinical proof-of-concept data in 2021 and results from an additional preclinical non-human primate proof-of-concept study in 2021 for our Orasome technology platform. We also expect to advance additional product candidates from these platforms internally, and to potentially continue to broaden the platforms through strategic collaborations around non-core applications, beyond our existing discovery collaboration with a large pharmaceutical company.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Controlled Founded Entities:</w:t>
      </w:r>
    </w:p>
    <w:p>
      <w:pPr>
        <w:spacing w:after="0" w:line="127" w:lineRule="exact"/>
        <w:rPr>
          <w:sz w:val="20"/>
          <w:szCs w:val="20"/>
          <w:color w:val="auto"/>
        </w:rPr>
      </w:pPr>
    </w:p>
    <w:p>
      <w:pPr>
        <w:ind w:left="1080" w:right="80" w:hanging="424"/>
        <w:spacing w:after="0" w:line="272"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Follica: </w:t>
      </w:r>
      <w:r>
        <w:rPr>
          <w:rFonts w:ascii="Arial" w:cs="Arial" w:eastAsia="Arial" w:hAnsi="Arial"/>
          <w:sz w:val="17"/>
          <w:szCs w:val="17"/>
          <w:color w:val="auto"/>
        </w:rPr>
        <w:t>Follica, Incorporated, or Follica, which is developing a regenerative biology platform designed to treat androgenetic alopecia,</w:t>
      </w:r>
      <w:r>
        <w:rPr>
          <w:rFonts w:ascii="Arial" w:cs="Arial" w:eastAsia="Arial" w:hAnsi="Arial"/>
          <w:sz w:val="17"/>
          <w:szCs w:val="17"/>
          <w:b w:val="1"/>
          <w:bCs w:val="1"/>
          <w:color w:val="auto"/>
        </w:rPr>
        <w:t xml:space="preserve"> </w:t>
      </w:r>
      <w:r>
        <w:rPr>
          <w:rFonts w:ascii="Arial" w:cs="Arial" w:eastAsia="Arial" w:hAnsi="Arial"/>
          <w:sz w:val="17"/>
          <w:szCs w:val="17"/>
          <w:color w:val="auto"/>
        </w:rPr>
        <w:t>epithelial aging and other medical conditions, is advancing FOL-004 for the treatment of hair loss in male androgenetic alopecia. In December 2019, Follica announced topline results from a safety and efficacy optimization study. Follica announced the completion of an End-of-Phase 2 meeting with the FDA in June 2020, which supports the progression into Phase 3 development. The initiation of a Phase 3 registration program is expected in 2021. We are party to a royalty agreement with Follica pursuant to which we are entitled to low single-digit royalties on worldwide net sales of certain commercialized products and a percentage of any sublicense income for certain of its technologies within the range of mid single-digit and mid teen percentages. Our interest in Follica also includes our equity ownership of 78.3 percent at June 30, 2020.</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0" w:hanging="424"/>
        <w:spacing w:after="0" w:line="29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Vedanta: </w:t>
      </w:r>
      <w:r>
        <w:rPr>
          <w:rFonts w:ascii="Arial" w:cs="Arial" w:eastAsia="Arial" w:hAnsi="Arial"/>
          <w:sz w:val="16"/>
          <w:szCs w:val="16"/>
          <w:color w:val="auto"/>
        </w:rPr>
        <w:t>Vedanta Biosciences, Inc., or Vedanta, which is developing a new category of therapies for immune-mediated diseases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rationally-defined consortia of human microbiome-derived bacteria, expects topline data from a Phase 2 clinical trial for VE303 in high-risk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infection, or CDI, in 2021; topline data from a first-in-patient clinical trial of VE800 in combination with Bristol-Myers Squibb’s checkpoint inhibitor Opdivo</w:t>
      </w:r>
      <w:r>
        <w:rPr>
          <w:rFonts w:ascii="Arial" w:cs="Arial" w:eastAsia="Arial" w:hAnsi="Arial"/>
          <w:sz w:val="13"/>
          <w:szCs w:val="13"/>
          <w:color w:val="auto"/>
        </w:rPr>
        <w:t>®</w:t>
      </w:r>
      <w:r>
        <w:rPr>
          <w:rFonts w:ascii="Arial" w:cs="Arial" w:eastAsia="Arial" w:hAnsi="Arial"/>
          <w:sz w:val="16"/>
          <w:szCs w:val="16"/>
          <w:color w:val="auto"/>
        </w:rPr>
        <w:t xml:space="preserve"> (nivolumab) in patients with selected types of advanced or metastatic cancer in 2021; and topline data from a Phase 1/2 clinical trial for VE416 in food allergy in 2021. Vedanta announced topline data from two Phase 1 studies in healthy volunteers of VE202, a product candidate being developed for inflammatory bowel disease, or IBD, in June 2020 and expects to advance VE202 into a Phase 2 study for IBD in 2021. Our interest in Vedanta is limited to our equity ownership of 50.4 percent at June 30,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Non-Controlled Founded Entities:</w:t>
      </w:r>
    </w:p>
    <w:p>
      <w:pPr>
        <w:spacing w:after="0" w:line="127" w:lineRule="exact"/>
        <w:rPr>
          <w:sz w:val="20"/>
          <w:szCs w:val="20"/>
          <w:color w:val="auto"/>
        </w:rPr>
      </w:pPr>
    </w:p>
    <w:p>
      <w:pPr>
        <w:ind w:left="1080" w:right="20" w:hanging="424"/>
        <w:spacing w:after="0" w:line="287"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Gelesis: </w:t>
      </w:r>
      <w:r>
        <w:rPr>
          <w:rFonts w:ascii="Arial" w:cs="Arial" w:eastAsia="Arial" w:hAnsi="Arial"/>
          <w:sz w:val="16"/>
          <w:szCs w:val="16"/>
          <w:color w:val="auto"/>
        </w:rPr>
        <w:t>Gelesis, Inc., or Gelesis, which is developing oral therapeutics based on a novel, superabsorbent hydrogel technology platform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obesity and other chronic diseases related to the GI pathway, received clearance from the FDA in April 2019 and European marketing authorization in June 2020 to market and sell its lead product Plenity</w:t>
      </w:r>
      <w:r>
        <w:rPr>
          <w:rFonts w:ascii="Arial" w:cs="Arial" w:eastAsia="Arial" w:hAnsi="Arial"/>
          <w:sz w:val="13"/>
          <w:szCs w:val="13"/>
          <w:color w:val="auto"/>
        </w:rPr>
        <w:t>®</w:t>
      </w:r>
      <w:r>
        <w:rPr>
          <w:rFonts w:ascii="Arial" w:cs="Arial" w:eastAsia="Arial" w:hAnsi="Arial"/>
          <w:sz w:val="16"/>
          <w:szCs w:val="16"/>
          <w:color w:val="auto"/>
        </w:rPr>
        <w:t xml:space="preserve"> (formerly known as Gelesis100) as an aid for weight management in adults with a Body Mass Index, or BMI, of 25-40 kg/m</w:t>
      </w:r>
      <w:r>
        <w:rPr>
          <w:rFonts w:ascii="Arial" w:cs="Arial" w:eastAsia="Arial" w:hAnsi="Arial"/>
          <w:sz w:val="13"/>
          <w:szCs w:val="13"/>
          <w:color w:val="auto"/>
        </w:rPr>
        <w:t>2</w:t>
      </w:r>
      <w:r>
        <w:rPr>
          <w:rFonts w:ascii="Arial" w:cs="Arial" w:eastAsia="Arial" w:hAnsi="Arial"/>
          <w:sz w:val="16"/>
          <w:szCs w:val="16"/>
          <w:color w:val="auto"/>
        </w:rPr>
        <w:t>, when used in conjunction with diet and exercise. Gelesis plans to bring Plenity to the U.S. first, where it is now available to a limited extent while Gelesis ramps up commercial operations and inventory for a full launch in 2021. Gelesis plans to seek FDA input on the requirements for expanding the Plenity label for treating adolescents. Gelesis is also advancing a pipeline of product candidates focused on treating GI disorders. Gelesis expects topline results from a Phase 2 study of GS200 for weight management and glycemic control in adults with type 2 diabetes or pre-diabetes in 2021, to initiate a Phase 2 study of GS300 in non-alcoholic steatohepatitis and non-alcoholic fatty liver disease, or NASH/NAFLD, in the second half of 2020 and to initiate a Phase 3 study for GS500 in functional constipation in the second half of 2020. We have entered into a royalty and sublicense income agreement with Gelesis, pursuant to which we are entitled to low single-digit royalties on the worldwide net sales of certain commercialized products, as well as a low teen percentage of any income Gelesis receives from sublicensing certain of its technology. Our interest in Gelesis also includes our equity ownership of 21.0 percent at June 30, 2020.</w:t>
      </w:r>
    </w:p>
    <w:p>
      <w:pPr>
        <w:spacing w:after="0" w:line="69" w:lineRule="exact"/>
        <w:rPr>
          <w:rFonts w:ascii="Arial" w:cs="Arial" w:eastAsia="Arial" w:hAnsi="Arial"/>
          <w:sz w:val="16"/>
          <w:szCs w:val="16"/>
          <w:color w:val="auto"/>
        </w:rPr>
      </w:pPr>
    </w:p>
    <w:p>
      <w:pPr>
        <w:ind w:left="1080" w:right="60" w:hanging="424"/>
        <w:spacing w:after="0" w:line="272"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Akili: </w:t>
      </w:r>
      <w:r>
        <w:rPr>
          <w:rFonts w:ascii="Arial" w:cs="Arial" w:eastAsia="Arial" w:hAnsi="Arial"/>
          <w:sz w:val="17"/>
          <w:szCs w:val="17"/>
          <w:color w:val="auto"/>
        </w:rPr>
        <w:t>Akili Interactive Labs, Inc., or Akili, is pioneering the development of treatments designed to have direct therapeutic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not through a traditional pill but via a high-quality video game experience. Akili has a broad pipeline of programs to target cognitive dysfunction associated with medical conditions across neurology and psychiatry. Akili received clearance from the FDA and European marketing authorization in June 2020 for EndeavorRx</w:t>
      </w:r>
      <w:r>
        <w:rPr>
          <w:rFonts w:ascii="Arial" w:cs="Arial" w:eastAsia="Arial" w:hAnsi="Arial"/>
          <w:sz w:val="14"/>
          <w:szCs w:val="14"/>
          <w:color w:val="auto"/>
        </w:rPr>
        <w:t>TM</w:t>
      </w:r>
      <w:r>
        <w:rPr>
          <w:rFonts w:ascii="Arial" w:cs="Arial" w:eastAsia="Arial" w:hAnsi="Arial"/>
          <w:sz w:val="17"/>
          <w:szCs w:val="17"/>
          <w:color w:val="auto"/>
        </w:rPr>
        <w:t xml:space="preserve"> (formerly known as AKL-T01) as a prescription treatment for children with ADHD. Delivered through a captivating video game experience, EndeavorRx is indicated to improve attention function as measured by computer-based testing in children ages 8-12 years old with primarily inattentive or combined-type ADHD, who have a demonstrated attention issue. Akili expects that the EndeavorRx treatment will be available with a prescription to families soon. Our interest in Akili is limited to our equity ownership of 34.0 percent at June 30, 2020.</w:t>
      </w:r>
    </w:p>
    <w:p>
      <w:pPr>
        <w:spacing w:after="0" w:line="77" w:lineRule="exact"/>
        <w:rPr>
          <w:rFonts w:ascii="Arial" w:cs="Arial" w:eastAsia="Arial" w:hAnsi="Arial"/>
          <w:sz w:val="17"/>
          <w:szCs w:val="17"/>
          <w:color w:val="auto"/>
        </w:rPr>
      </w:pPr>
    </w:p>
    <w:p>
      <w:pPr>
        <w:ind w:left="1080" w:hanging="424"/>
        <w:spacing w:after="0" w:line="273"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Karuna: </w:t>
      </w:r>
      <w:r>
        <w:rPr>
          <w:rFonts w:ascii="Arial" w:cs="Arial" w:eastAsia="Arial" w:hAnsi="Arial"/>
          <w:sz w:val="17"/>
          <w:szCs w:val="17"/>
          <w:color w:val="auto"/>
        </w:rPr>
        <w:t>Karuna Therapeutics, Inc., or Karuna, which is developing novel therapies with the potential to transform the lives of people with</w:t>
      </w:r>
      <w:r>
        <w:rPr>
          <w:rFonts w:ascii="Arial" w:cs="Arial" w:eastAsia="Arial" w:hAnsi="Arial"/>
          <w:sz w:val="17"/>
          <w:szCs w:val="17"/>
          <w:b w:val="1"/>
          <w:bCs w:val="1"/>
          <w:color w:val="auto"/>
        </w:rPr>
        <w:t xml:space="preserve"> </w:t>
      </w:r>
      <w:r>
        <w:rPr>
          <w:rFonts w:ascii="Arial" w:cs="Arial" w:eastAsia="Arial" w:hAnsi="Arial"/>
          <w:sz w:val="17"/>
          <w:szCs w:val="17"/>
          <w:color w:val="auto"/>
        </w:rPr>
        <w:t>disabling and potentially fatal neuropsychiatric disorders, including schizophrenia and dementia-related psychosis, is developing KarXT, an investigational product candidate designed to selectively activate muscarinic acetylcholine receptors in the brain. KarXT is Karuna’s proprietary product candidate, which combines xanomeline, a muscarinic receptor agonist, with trospium chloride, an FDA-approved and well established muscarinic receptor antagonist that has been shown not to measurably cross the blood-brain barrier, to preferentially stimulate M1/M4 muscarinic receptors in the brain without stimulating muscarinic receptors in peripheral tissues in order to achieve meaningful therapeutic benefit in patients with psychotic and cognitive disorders. In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5" w:lineRule="auto"/>
        <w:rPr>
          <w:sz w:val="20"/>
          <w:szCs w:val="20"/>
          <w:color w:val="auto"/>
        </w:rPr>
      </w:pPr>
      <w:r>
        <w:rPr>
          <w:rFonts w:ascii="Arial" w:cs="Arial" w:eastAsia="Arial" w:hAnsi="Arial"/>
          <w:sz w:val="16"/>
          <w:szCs w:val="16"/>
          <w:color w:val="auto"/>
        </w:rPr>
        <w:t>November 2019, Karuna announced topline results from EMERGENT-1, its Phase 2 clinical trial of KarXT for the treatment of acute psychosis in patients with schizophrenia, in which KarXT met the trial’s primary endpoint with a statistically significant (p&lt;0.0001) and clinically meaningful 11.6 point mean reduction in total Positive and Negative Syndrome Scale, or PANSS, over placebo at week five (-17.4 KarXT vs. -5.9 placebo), with similar discontinuation rates between KarXT (20 percent) and placebo (21 percent). The study enrolled 182 schizophrenia patients with acute psychosis, 90 of whom received KarXT. The number of discontinuations due to treatment emergent AEs were equal in the KarXT and placebo arms (n=2 in each group). One SAE was observed in the KarXT treatment group, in which the patient discontinued treatment and subsequently sought hospital care for worsening psychosis, meeting the regulatory definition of an SAE. Karuna held an End-of-Phase 2 meeting with the FDA in June 2020, the outcome of which supports the progression of KarXT into Phase 3 development. Karuna plans to initiate two five-week inpatient trials evaluating the efficacy and safety of KarXT for the treatment of acute psychosis in adults with schizophrenia. The first Phase 3 trial, EMERGENT-2, is expected to commence by the end of 2020. Additionally, Karuna anticipates topline results from a Phase 1b clinical trial in healthy volunteers to assess the safety and tolerability of KarXT early in the second quarter of 2021. This Phase 1b trial is designed to demonstrate safety and tolerability of KarXT in healthy elderly volunteers in order to select the most appropriate dose to carry forward into future studies in patients with dementia-related psychosis. We have entered into an exclusive license agreement with Karuna pursuant to which we are entitled to receive low single-digit royalties and up to $10.0 million in milestone payments on worldwide net sales of any commercialized product covered by the granted license. Our interest in Karuna also includes our equity ownership of 12.8 percent at August 26, 2020.</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chart below depicts milestones that are anticipated to be achieved by our Wholly Owned Programs and our Founded Entities’ products and product candidates through 2021 and our progress on previously declared milestones for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Upcoming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94615</wp:posOffset>
            </wp:positionV>
            <wp:extent cx="4740275" cy="5768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40275" cy="576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40" w:right="20" w:hanging="424"/>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Relevant ownership interests for Founded Entities were calculated on a diluted basis (as opposed to a voting basis) as of June 30, 2020, including outstanding shares, options and warrants, but excluding unallocated shares authorized to be issued pursuant to equity incentive plans. Ownership of Vor is based on the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color w:val="auto"/>
        </w:rPr>
        <w:t>assumption that all future tranches of the most recent financing round are funded. Karuna ownership is calculated on an outstanding voting share basis as of August 26, 2020.</w:t>
      </w:r>
    </w:p>
    <w:p>
      <w:pPr>
        <w:spacing w:after="0" w:line="1"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Long COVID is a term being used to describe the emerging and persistent complications following the resolution of COVID-19 infection.</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Our Scientific Focus: The </w:t>
      </w: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rain-</w:t>
      </w: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mmune-</w:t>
      </w:r>
      <w:r>
        <w:rPr>
          <w:rFonts w:ascii="Arial" w:cs="Arial" w:eastAsia="Arial" w:hAnsi="Arial"/>
          <w:sz w:val="18"/>
          <w:szCs w:val="18"/>
          <w:b w:val="1"/>
          <w:bCs w:val="1"/>
          <w:u w:val="single" w:color="auto"/>
          <w:color w:val="auto"/>
        </w:rPr>
        <w:t>G</w:t>
      </w:r>
      <w:r>
        <w:rPr>
          <w:rFonts w:ascii="Arial" w:cs="Arial" w:eastAsia="Arial" w:hAnsi="Arial"/>
          <w:sz w:val="18"/>
          <w:szCs w:val="18"/>
          <w:b w:val="1"/>
          <w:bCs w:val="1"/>
          <w:color w:val="auto"/>
        </w:rPr>
        <w:t>ut (BIG) Axis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product candidates being advanced within our Wholly Owned Programs and by our Founded Entities, and our work in these areas, in close collaboration with leading academic and clinical experts, has led us to focus on the biological interplay among these three systems, which we refer to as the BIG Axis. The architectural framework supporting BIG Axis cross-talk is built on evidence highlighting the presence of 70 percent of the entire immune cell population in the gut, approximately 500 million neurons innervating the GI tract, enteric neurons as part of the autonomic nervous system and key components such as the gut epithelial barrier, microbiome, metabolites and neurotransmitters that play key roles in protecting and influencing the immune system and CNS.</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brain, immune system and gut lymphatic system form an interconnected adaptive network to respond to acute and chronic environmental change. Using the immune system to act as a bridge, the body relies on the bidirectional relationship between the gut and brain to maintain normal homoeostasis. Dysregulation of immune signaling through gut inflammation, microbiome changes and a compromised intestinal barrier all contribute to a range of immunological, GI and neurology and neuropsychological disorders. We have been at the forefront of research and development in the BIG Axis, including the role of gut-immune transport, immune-microbial signaling, gut barrier dysfunction and repair and gut and inflammation selective targeting strategies. In our Wholly Owned Programs, we are pursuing strategies to directly reach the immune system via the mesenteric lymph nodes, addressing lymphatic flow and vessel restoration disorders and targeting immunosuppressive and pathogenic lymphocytes.</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Recent scientific advances, including the work of our network of scientific collaborators, have uncovered the lymphatic system as one of the most critical players in the BIG Axis. In addition to maintaining the balance of interstitial fluid that surrounds the body’s cells, the lymphatic system plays a key role in conducting surveillance of the immune system through an intricate network of vessels connecting the over 300 lymph nodes, serving as a “superhighway” for programming immune cells for specific functions and trafficking them to specific tissues. The mesenteric lymph node group around the intestines serves as the primary interface between the gut and the immune system and for programming circulating adaptive immune cells. The recent discovery of meningeal lymphatics in the brain, an area once thought to have immune privilege, has shed new light on neurodegenerative diseases and lymphatic vessel aging.</w:t>
      </w:r>
    </w:p>
    <w:p>
      <w:pPr>
        <w:spacing w:after="0" w:line="1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Through our scientific leadership in the BIG systems and the BIG Axis, we have created the underlying programs and product candidates that have the potential to treat inflammatory and immunological conditions, intractable cancers, lymphatic and GI diseases and neurological and neuropsychological disorders, among others.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Model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employ the following process to identify and develop product candidates:</w:t>
      </w:r>
    </w:p>
    <w:p>
      <w:pPr>
        <w:spacing w:after="0" w:line="131" w:lineRule="exact"/>
        <w:rPr>
          <w:sz w:val="20"/>
          <w:szCs w:val="20"/>
          <w:color w:val="auto"/>
        </w:rPr>
      </w:pPr>
    </w:p>
    <w:p>
      <w:pPr>
        <w:ind w:left="1080" w:hanging="424"/>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Step 1: A Collaborative Discovery Process Leveraging our Biological Expertise in the BIG Axis and our Scientific Network</w:t>
      </w:r>
      <w:r>
        <w:rPr>
          <w:rFonts w:ascii="Arial" w:cs="Arial" w:eastAsia="Arial" w:hAnsi="Arial"/>
          <w:sz w:val="18"/>
          <w:szCs w:val="18"/>
          <w:color w:val="auto"/>
        </w:rPr>
        <w: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collaborate with the world’s leading domain experts on a disease-specific discovery theme through the lens of BIG Axis biology. All of our Wholly Owned Programs target one or more of the BIG systems and we prioritize programs that have the potential to reduce early development risk based on preliminary signals of activity in humans and promising tolerability profiles. We have proven our ability to efficiently leverage our cross-disciplinary research and discovery efforts across multiple indications and potential therapeutic areas. Our program collaborators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5" w:lineRule="auto"/>
        <w:rPr>
          <w:sz w:val="20"/>
          <w:szCs w:val="20"/>
          <w:color w:val="auto"/>
        </w:rPr>
      </w:pPr>
      <w:r>
        <w:rPr>
          <w:rFonts w:ascii="Arial" w:cs="Arial" w:eastAsia="Arial" w:hAnsi="Arial"/>
          <w:sz w:val="17"/>
          <w:szCs w:val="17"/>
          <w:color w:val="auto"/>
        </w:rPr>
        <w:t>and co-inventors across our Wholly Owned Programs and Founded Entities’ programs include leading academic minds; recipients of major awards such as the Nobel Prize, the U.S. National Medal of Science, the Charles Stark Draper Prize and the Priestley Medal; members of prestigious institutions such as the Howard Hughes Medical Institute, all three of the National Academies and world renowned academic institutions such as Harvard, MIT, Yale, Columbia, Johns Hopkins, Imperial College of London and Cornell, among others; and former senior executives and board members at some of the world’s largest pharmaceutical companies.</w:t>
      </w:r>
    </w:p>
    <w:p>
      <w:pPr>
        <w:spacing w:after="0" w:line="82" w:lineRule="exact"/>
        <w:rPr>
          <w:sz w:val="20"/>
          <w:szCs w:val="20"/>
          <w:color w:val="auto"/>
        </w:rPr>
      </w:pPr>
    </w:p>
    <w:p>
      <w:pPr>
        <w:ind w:left="1080" w:right="20" w:hanging="424"/>
        <w:spacing w:after="0" w:line="270"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Step 2: A Disciplined Approach to Program Advancement</w:t>
      </w:r>
      <w:r>
        <w:rPr>
          <w:rFonts w:ascii="Arial" w:cs="Arial" w:eastAsia="Arial" w:hAnsi="Arial"/>
          <w:sz w:val="17"/>
          <w:szCs w:val="17"/>
          <w:color w:val="auto"/>
        </w:rPr>
        <w:t>: We employ a rigorous and disciplined approach to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breadth and depth of our Wholly Owned Pipeline and our Founded Entities’ programs allow us to quickly pivot resources to the more promising therapeutic opportunities, strategically reallocate capital across programs and terminate Wholly Owned Programs we choose not to pursue without adversely impacting the development of other programs. We, through our internal resources and with our extensive expert network and collaboration partners, repeat key academic work and conduct focused experiments both internally and externally to rapidly advance those that we believe hold the greatest promise and deprioritize less attractive programs. Collectively, these activities decrease the risk of any individual program event negatively impacting our Wholly Owned Pipeline and enable us to preserve capital for the programs across our Wholly Owned Pipeline and Founded Entities that we believe have the greatest opportunity for value creation in alignment with our shareholders.</w:t>
      </w:r>
    </w:p>
    <w:p>
      <w:pPr>
        <w:spacing w:after="0" w:line="86" w:lineRule="exact"/>
        <w:rPr>
          <w:rFonts w:ascii="Arial" w:cs="Arial" w:eastAsia="Arial" w:hAnsi="Arial"/>
          <w:sz w:val="17"/>
          <w:szCs w:val="17"/>
          <w:color w:val="auto"/>
        </w:rPr>
      </w:pPr>
    </w:p>
    <w:p>
      <w:pPr>
        <w:ind w:left="1080" w:right="40" w:hanging="424"/>
        <w:spacing w:after="0" w:line="26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Step 3: A Capital Efficient Approach to Driving Clinical Development and Value Creation</w:t>
      </w:r>
      <w:r>
        <w:rPr>
          <w:rFonts w:ascii="Arial" w:cs="Arial" w:eastAsia="Arial" w:hAnsi="Arial"/>
          <w:sz w:val="17"/>
          <w:szCs w:val="17"/>
          <w:color w:val="auto"/>
        </w:rPr>
        <w:t>: Our management team has successfully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driven these product candidates from early stage research and development, through POC and into clinical trials and has supported dedicated teams at our Non-Controlled Founded Entities through pivotal trials and FDA clearance. We have financed our development efforts through strategic collaborations, pharmaceutical partnerships, non-dilutive funding mechanisms, including through the sale of our Founded Entities’ equity and through grants, and public and private equity financings. We leverage shared resources, institutional knowledge and infrastructure between our earlier-stage Founded Entities and development efforts within our Wholly Owned Programs to advance our programs efficiently prior to POC. This approach has enabled the discovery and development of 24 products and product candidates to date, including two that have been cleared by the U.S. FDA and granted marketing authorization in the EEA, between our Wholly Owned Programs and our Founded Entities, in which we retain equity ownership ranging from 78.6 percent to 11.8 percent. At the parent level, PureTech Health plc had cash equivalents and short-term investments of $387.2 million as of September 30, 2020. From January 1, 2017 to June 30, 2020, our Founded Entities strengthened their collective balance sheets by attracting $1.084 billion in investments and non-dilutive funding, including $997.6 million from third parties. As part of our disciplined capital management, we have been able to generate $359.9 million in non-dilutive funding, as of August 26, 2020, through the sales of portions of Founded Entity shares.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Driving Development of Potential New Medicines and Accretion of Value Via Three Paths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922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8345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goal is to identify, invent, develop and commercialize innovative new categories of therapeutics that are derived from our deep understanding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BIG Axis to address significant unmet medical needs. To achieve this goal, key components of our strategy include:</w:t>
      </w:r>
    </w:p>
    <w:p>
      <w:pPr>
        <w:spacing w:after="0" w:line="116"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Advancing Wholly Owned Programs Through Development and Commercialization, Including Pipeline Expansion:</w:t>
      </w:r>
    </w:p>
    <w:p>
      <w:pPr>
        <w:spacing w:after="0" w:line="130" w:lineRule="exact"/>
        <w:rPr>
          <w:rFonts w:ascii="Arial" w:cs="Arial" w:eastAsia="Arial" w:hAnsi="Arial"/>
          <w:sz w:val="18"/>
          <w:szCs w:val="18"/>
          <w:color w:val="auto"/>
        </w:rPr>
      </w:pPr>
    </w:p>
    <w:p>
      <w:pPr>
        <w:ind w:left="1540" w:hanging="331"/>
        <w:spacing w:after="0" w:line="286" w:lineRule="auto"/>
        <w:tabs>
          <w:tab w:leader="none" w:pos="1540"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Progressing LYT-100, LYT-200, LYT-210 and LYT-300 through clinical studies: </w:t>
      </w:r>
      <w:r>
        <w:rPr>
          <w:rFonts w:ascii="Arial" w:cs="Arial" w:eastAsia="Arial" w:hAnsi="Arial"/>
          <w:sz w:val="16"/>
          <w:szCs w:val="16"/>
          <w:color w:val="auto"/>
        </w:rPr>
        <w:t>We are developing novel classes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immunomodulatory drugs to treat serious diseases, including lung dysfunction, oncology, lymphatic, neurological and neuropsychological disorders. In July 2019, we acquired LYT-100, a small molecule product candidate that was well-tolerated in a Phase 1 clinical trial in healthy volunteers and showed a desirable pharmacokinetic, or PK, profile suitable for oral administration. Due to LYT-100’s observed potent anti-fibrotic and anti-inflammatory activity in preclinical models and encouraging Phase 1 clinical trial data, we are advancing our wholly-owned product candidate LYT-100 for the potential treatment of conditions involving inflammation and fibrosis and disorders of lymphatic flow, including lung dysfunction conditions (e.g., IPF, uILDs and Long COVID respiratory complications and related sequelae) and lymphedema. LYT-100 is currently being evaluated in a multiple ascending dose Phase 1 clinical trial, which we expect data to readout in the second half of 2020. We intend to commence a POC study in patients with breast cancer-related, upper limb secondary lymphedema in the second half of 2020, with topline results expected in the second half of 2021. We also plan to commence a Phase 2 study in Long COVID respiratory complications and related sequelae in the second half of 2020, with topline results expected in the second half of 2021. We are developing LYT-200, an investigational, fully human, monoclonal antibody, or mAb, that is designed to target galectin-9, a protein that regulates immunosuppression and is prominently expressed in hard-to-treat cancers such as colorectal cancer, or CRC, cholangiocarcinoma, or CCA, and pancreatic cancer. We believe LYT-200 has shown preliminary POC in both preclinical human and mouse cancer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models. We plan to file an IND for LYT-200 and to initiate a Phase 1 study in solid tumors in the second half of 2020. LYT-210 is an investigational, fully human, mAb targeting immunosuppressive or pathogenic gd1 T cells. We are also developing LYT-300, oral allopregnanolone, and evaluating its potential to address a range of neurological and neuropsychological conditions. We expect to initiate a first-in-human clinical study with LYT-300 by the end of 2021.</w:t>
      </w:r>
    </w:p>
    <w:p>
      <w:pPr>
        <w:spacing w:after="0" w:line="92" w:lineRule="exact"/>
        <w:rPr>
          <w:sz w:val="20"/>
          <w:szCs w:val="20"/>
          <w:color w:val="auto"/>
        </w:rPr>
      </w:pPr>
    </w:p>
    <w:p>
      <w:pPr>
        <w:ind w:left="1540" w:hanging="331"/>
        <w:spacing w:after="0" w:line="269"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Harnessing our proprietary drug discovery and development capabilities to drive pipeline maturation and expansion: </w:t>
      </w:r>
      <w:r>
        <w:rPr>
          <w:rFonts w:ascii="Arial" w:cs="Arial" w:eastAsia="Arial" w:hAnsi="Arial"/>
          <w:sz w:val="17"/>
          <w:szCs w:val="17"/>
          <w:color w:val="auto"/>
        </w:rPr>
        <w:t>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pioneering the development of therapeutic candidates by leveraging our unique insights into the lymphatic system and the BIG Axis. Our Wholly Owned Programs currently comprise four proprietary product candidates and three innovative technology platforms. We intend to leverage our proprietary technology platforms, as well as our extensive network with world-leading scientists in immunology and lymphatics and major pharmaceutical companies, to generate and acquire additional novel product candidates. To do so, we will rely on the track record of our team, which has been instrumental in the generation of 24 products and product candidates to date between our Wholly Owned Programs and our Founded Entities, including two that have been cleared by the U.S. FDA and granted marketing authorization in the EEA, as well as our established internal identification and prioritization approach. We will continue to take advantage of our differentiated model to manage the risk of any single program and quickly redeploy resources towards performing assets.</w:t>
      </w:r>
    </w:p>
    <w:p>
      <w:pPr>
        <w:spacing w:after="0" w:line="86" w:lineRule="exact"/>
        <w:rPr>
          <w:rFonts w:ascii="Arial" w:cs="Arial" w:eastAsia="Arial" w:hAnsi="Arial"/>
          <w:sz w:val="17"/>
          <w:szCs w:val="17"/>
          <w:color w:val="auto"/>
        </w:rPr>
      </w:pPr>
    </w:p>
    <w:p>
      <w:pPr>
        <w:ind w:left="1540" w:right="60" w:hanging="331"/>
        <w:spacing w:after="0" w:line="272" w:lineRule="auto"/>
        <w:tabs>
          <w:tab w:leader="none" w:pos="1540" w:val="left"/>
        </w:tabs>
        <w:numPr>
          <w:ilvl w:val="1"/>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Maximizing the impact of our Wholly Owned product candidates by expanding development across multiple indications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focus our development efforts on product candidates that have the potential to treat multiple diseases and plan to develop them in additional indications where warranted. For example, we believe that our product candidate LYT-100 has the potential to be evaluated in multiple fibrotic indications beyond our initial target indication of lymphedema, such as Long COVID respiratory complications and related sequelae, IPF, uILD, and focal segmental glomerulosclerosis, or FSGS. We are initially developing our other internal product candidates, LYT-200 and LYT-210, for the treatment of certain cancers, including CCA, CRC and pancreatic cancers, among others, and we are evaluating LYT-210 for the potential treatment of GI autoimmune diseases. Lastly, we are evaluating LYT-300 for a range of neurological and neuropsychological conditions.</w:t>
      </w:r>
    </w:p>
    <w:p>
      <w:pPr>
        <w:spacing w:after="0" w:line="81" w:lineRule="exact"/>
        <w:rPr>
          <w:rFonts w:ascii="Arial" w:cs="Arial" w:eastAsia="Arial" w:hAnsi="Arial"/>
          <w:sz w:val="17"/>
          <w:szCs w:val="17"/>
          <w:color w:val="auto"/>
        </w:rPr>
      </w:pPr>
    </w:p>
    <w:p>
      <w:pPr>
        <w:ind w:left="1080" w:right="100" w:hanging="424"/>
        <w:spacing w:after="0" w:line="269"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Deriving Value from Equity Growth of Our Founded Entities: </w:t>
      </w:r>
      <w:r>
        <w:rPr>
          <w:rFonts w:ascii="Arial" w:cs="Arial" w:eastAsia="Arial" w:hAnsi="Arial"/>
          <w:sz w:val="17"/>
          <w:szCs w:val="17"/>
          <w:color w:val="auto"/>
        </w:rPr>
        <w:t>Historically, we have pursued a variety of strategic options to fund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the development of our Founded Entities’ product candidates, including private and public financings and multiple partnerships and collaborations with selected partners. In the preliminary stages of our growth, we partnered with equity investors, pharmaceutical and biotechnology companies and government and non-governmental organizations for certain of our Founded Entities which are now in advanced stages and have the potential for near-term value creation with significant upside potential. Going forward, we intend to participate in private and public financings, enter into partnerships and collaborations, partner with equity investors, pharmaceutical and biotechnology companies and government and non-governmental organizations for certain of our Founded Entities and strategically monetize certain of our our equity holdings in our Founded Entities after significant value creation has occurred, generating non-dilutive financing. For example, in 2020, PureTech generated cash proceeds of $347.5 million from the sale of equity in one of our Founded Entities, which we intend to use to fund our operations and growth and to further expand and advance our clinical-stage Wholly Owned Pipeline, while still maintaining significant equity ownership to derive value from future growth of that entity. We may create additional entities opportunistically based on future strategic imperatives.</w:t>
      </w:r>
    </w:p>
    <w:p>
      <w:pPr>
        <w:spacing w:after="0" w:line="84" w:lineRule="exact"/>
        <w:rPr>
          <w:rFonts w:ascii="Arial" w:cs="Arial" w:eastAsia="Arial" w:hAnsi="Arial"/>
          <w:sz w:val="17"/>
          <w:szCs w:val="17"/>
          <w:color w:val="auto"/>
        </w:rPr>
      </w:pPr>
    </w:p>
    <w:p>
      <w:pPr>
        <w:ind w:left="1080" w:right="80" w:hanging="424"/>
        <w:spacing w:after="0" w:line="31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Discovery Programs by Partnering Non-Core Applications via Non-Dilutive Funding Sources, Including Partnerships and Grants, to Enable Retention of Value: </w:t>
      </w:r>
      <w:r>
        <w:rPr>
          <w:rFonts w:ascii="Arial" w:cs="Arial" w:eastAsia="Arial" w:hAnsi="Arial"/>
          <w:sz w:val="16"/>
          <w:szCs w:val="16"/>
          <w:color w:val="auto"/>
        </w:rPr>
        <w:t>As we further develop our Wholly Owned Programs through key value inflection points,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opportunistically enter into strategic partnerships when we believe that such partnerships could add value to the development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308" w:lineRule="auto"/>
        <w:rPr>
          <w:sz w:val="20"/>
          <w:szCs w:val="20"/>
          <w:color w:val="auto"/>
        </w:rPr>
      </w:pPr>
      <w:r>
        <w:rPr>
          <w:rFonts w:ascii="Arial" w:cs="Arial" w:eastAsia="Arial" w:hAnsi="Arial"/>
          <w:sz w:val="17"/>
          <w:szCs w:val="17"/>
          <w:color w:val="auto"/>
        </w:rPr>
        <w:t>potential commercialization of our Wholly Owned product candidates. We will also continue to pursue government grant funding and discovery partnerships that allow us to maintain most of the value of our platforms while offsetting operational costs.</w:t>
      </w:r>
    </w:p>
    <w:p>
      <w:pPr>
        <w:spacing w:after="0" w:line="14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believe this combination of development of our Wholly Owned Programs, Founded Entity advancement and non-dilutive partnerships and funding provides us with a unique and multi-pronged engine fueling potential future growth.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Focus on the Lymphatic System</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lymphatic system is a network of tissues and organs in the body that fulfills three essential functions: (1) maintaining the balance of the fluid that surrounds the body’s cells, or interstitial fluid, (2) conducting surveillance of the immune system and serving as a “superhighway” for immune cell trafficking and (3) absorbing dietary lipids through an intricate network of vessels in the intestinal tract.</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Dysfunction of the lymphatic system is associated with numerous disease states, and we believe that restoring lymphatic function in various disease settings can yield meaningful patient benefit. Our proprietary Wholly Owned Programs leverage these critical functions of the lymphatic system to produce product candidates with the potential to treat serious diseases:</w:t>
      </w:r>
    </w:p>
    <w:p>
      <w:pPr>
        <w:spacing w:after="0" w:line="89" w:lineRule="exact"/>
        <w:rPr>
          <w:sz w:val="20"/>
          <w:szCs w:val="20"/>
          <w:color w:val="auto"/>
        </w:rPr>
      </w:pPr>
    </w:p>
    <w:p>
      <w:pPr>
        <w:ind w:left="1080" w:right="26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Maintaining balance of fluids</w:t>
      </w:r>
      <w:r>
        <w:rPr>
          <w:rFonts w:ascii="Arial" w:cs="Arial" w:eastAsia="Arial" w:hAnsi="Arial"/>
          <w:sz w:val="18"/>
          <w:szCs w:val="18"/>
          <w:color w:val="auto"/>
        </w:rPr>
        <w:t>: We are leveraging insights into the lymphatic system by developing clinical-stage product candidate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LYT-100 and several discovery-stage programs to address disorders involving impaired lymphatic flow and other conditions involving inflammation and fibrosis, such as lymphedema and certain neurological disorders.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Immune modulation</w:t>
      </w:r>
      <w:r>
        <w:rPr>
          <w:rFonts w:ascii="Arial" w:cs="Arial" w:eastAsia="Arial" w:hAnsi="Arial"/>
          <w:sz w:val="18"/>
          <w:szCs w:val="18"/>
          <w:color w:val="auto"/>
        </w:rPr>
        <w:t>: The lymphatic system plays a crucial role in programming immune cells for precise functions and trafficking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specific tissues. By modulating immune cell trafficking and programming, we are developing product candidates for the treatment of cancer and immunological disorders. We are advancing LYT-200, our product candidate targeting galectin-9 in solid tumors and LYT-210, our product candidate targeting immunosuppressive gd1 T cells in solid tumors and autoimmune disorders, for a range of cancer indications and autoimmune disorders.</w:t>
      </w:r>
    </w:p>
    <w:p>
      <w:pPr>
        <w:spacing w:after="0" w:line="93"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Driving therapeutics through lymphatics</w:t>
      </w:r>
      <w:r>
        <w:rPr>
          <w:rFonts w:ascii="Arial" w:cs="Arial" w:eastAsia="Arial" w:hAnsi="Arial"/>
          <w:sz w:val="17"/>
          <w:szCs w:val="17"/>
          <w:color w:val="auto"/>
        </w:rPr>
        <w:t>: We are harnessing the role of the lymphatic system in the absorption of dietary lipids to orally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and traffic therapeutics via the lymphatic system where immune cells are programmed. LYT-300 and our Glyph (lymphatic targeting) and Orasome (oral biotherapeutics) platforms are based on this key function of the lymphatic system.</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Wholly Owned Programs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are advancing our Wholly Owned Programs that are designed to harness immunological and lymphatic system mechanisms for the treatment of lung dysfunction, oncology, lymphatic, neurological and neuropsychological disorders. Our Wholly Owned Programs consist of the programs within our Wholly Owned Pipeline and our three discovery platforms. The following chart summarizes the programs in our Wholly Owned Pipeline and their current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144780</wp:posOffset>
            </wp:positionV>
            <wp:extent cx="3926205" cy="28632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2620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Long COVID is a term being used to describe the emerging and persistent complications following the resolution of COVID-19 infection.</w:t>
      </w:r>
    </w:p>
    <w:p>
      <w:pPr>
        <w:spacing w:after="0" w:line="233" w:lineRule="exact"/>
        <w:rPr>
          <w:sz w:val="20"/>
          <w:szCs w:val="20"/>
          <w:color w:val="auto"/>
        </w:rPr>
      </w:pPr>
    </w:p>
    <w:p>
      <w:pPr>
        <w:ind w:left="120" w:right="680"/>
        <w:spacing w:after="0" w:line="282" w:lineRule="auto"/>
        <w:rPr>
          <w:sz w:val="20"/>
          <w:szCs w:val="20"/>
          <w:color w:val="auto"/>
        </w:rPr>
      </w:pPr>
      <w:r>
        <w:rPr>
          <w:rFonts w:ascii="Arial" w:cs="Arial" w:eastAsia="Arial" w:hAnsi="Arial"/>
          <w:sz w:val="18"/>
          <w:szCs w:val="18"/>
          <w:b w:val="1"/>
          <w:bCs w:val="1"/>
          <w:color w:val="auto"/>
        </w:rPr>
        <w:t>LYT-100: Deupirfenidone, Our Most Advanced Wholly Owned Product Candidate for the Potential Treatment of Conditions Involving Inflammation and Fibrosis and Disorders of Lymphatic Flow</w:t>
      </w:r>
    </w:p>
    <w:p>
      <w:pPr>
        <w:spacing w:after="0" w:line="5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lead wholly-owned product candidate, LYT-100, is being advanced for the potential treatment of conditions involving inflammation and fibrosis and disorders of lymphatic flow, including lung dysfunction conditions (e.g., IPF, uILDs and Long COVID respiratory complications and related sequelae) and lymphedema. LYT-100 (deupirfenidone) is a selectively deuterated form of pirfenidone, with anti-inflammatory, antioxidant and antifibrotic properties and superior PK properties and activity compared to pirfenidone. LYT-100 shares pirfenidone’s beneficial mechanism of action but is expected to be metabolized slower and with less variability between patients compared with pirfenidone.</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There are approximately 130,000 people living with IPF or uILD in the United States. Pirfenidone is effective in slowing fibrotic pulmonary decline in IPF, has been granted “breakthrough” status in uILD, has shown activity in investigational clinical studies in patients with FSGS as well as other indications and has demonstrated activity in a preclinical model of lymphedema and radiation-induced fibrosis. Deuteration of pirfenidone involves substitution of specific hydrogens in a chemical structure for deuterium, a non-toxic, naturally occurring form of hydrogen. A similar modification was determined by the FDA to create a new chemical entity. Deuteration of pirfenidone improves the stability of the resulting drug, attenuates the breakdown of the drug’s active metabolite and has shown a differentiated PK profile compared to non-deuterated pirfenidone in clinical studies. We believe this differentiated PK profile could enable potentially improved efficacy, less frequent dosing, improved tolerability, reduced interpatient variability in drug metabolism and reduced drug-drug interactions. LYT-100 is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extensively protected by composition of matter patents, as well as patents covering methods of use and process of manufacture for deupirfenidone as well as other claims.</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LYT-100 was originally developed by Auspex Pharmaceuticals, Inc., or Auspex, for the treatment of IPF. We selected and acquired LYT-100 in July 2019 based on insights into the lymphatic system gained internally and via unpublished findings through our network of collaborators, coupled with the relationships of our team members and their insights into the program previously developed at Auspex. These insights led us to an initial target indication of lymphedema, and we also believe that LYT-100 has the potential to be evaluated in multiple fibrotic and inflammatory indications beyond our initial target indication of lymphedema, such as Long COVID respiratory complications and related sequelae, IPF, interstitial lung diseases, and FSGS. Auspex was a leader in deuteration chemistry and was acquired by Teva Pharmaceutical Industries in 2015. Pursuant to an Asset Purchase Agreement by and between Auspex and PureTech Health LLC, dated July 15, 2019, Auspex assigned and transferred all patent claims, inventory, technology, contracts and related rights relating to LYT-100 to us. As consideration, we paid an upfront payment, which we do not deem material. In addition, Auspex is eligible to receive milestone payments of approximately $84 million in the aggregate depending upon specified developmental, regulatory and commercial achievements. In addition, for ten years following the first commercial sale of any commercialized product containing LYT-100, Auspex is eligible to receive low to middle single-digit royalties on the worldwide net sales of such product.</w:t>
      </w:r>
    </w:p>
    <w:p>
      <w:pPr>
        <w:spacing w:after="0" w:line="17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Following our acquisition of LYT-100, we have conducted preclinical studies to validate the unpublished findings in a lymphedema model and initiated a multiple ascending dose and food effect Phase 1 clinical trial, data from which we expect to readout in the second half of 2020. We intend to progress LYT-100 for the potential treatment of respiratory conditions and secondary lymphedema, followed by other inflammatory, fibrotic and lymphatic disorders.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 for Long Covid Respiratory Complications and Related Sequelae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(SARS-CoV-2 infection)</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COVID-19 pandemic has affected tens of millions of people around the world. The virus can be deadly and there are a number of therapeutic approaches that target the acute phase of the disease. There is increasing data around the longer-term complications of COVID-19, referred to as Long COVID, including preliminary data regarding respiratory issues that persist. Survivors of the virus can have lung fibrosis that causes shortness of breath and other problems that could potentially last for years. In survivors, disease and invasive treatment both create fibrosis and the risk of persistently diminished lung function. Lung fibrosis can reduce the function of the lung, as observed by changes in pulmonary function tests, and can cause difficulties with activities of daily living. Clinicians are already documenting rapid progression to lung fibrosis in patients with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3379470</wp:posOffset>
            </wp:positionV>
            <wp:extent cx="3505835" cy="6172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058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 xml:space="preserve">Figure X. </w:t>
      </w:r>
      <w:r>
        <w:rPr>
          <w:rFonts w:ascii="Arial" w:cs="Arial" w:eastAsia="Arial" w:hAnsi="Arial"/>
          <w:sz w:val="18"/>
          <w:szCs w:val="18"/>
          <w:color w:val="auto"/>
        </w:rPr>
        <w:t>Lung CT of a COVID-19 patient. (A) Ground glass</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opacities (GGO) in the left lower lobe (arrow). (B) Three weeks later,</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in the same lung zones, the disease has rapidly progressed and fibrotic</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changes are now evident (arrows). Figure from Spagnolo et al., 2020</w:t>
      </w:r>
    </w:p>
    <w:p>
      <w:pPr>
        <w:spacing w:after="0" w:line="30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potential for fibrosis-mediated lung damage and the unprecedented scale of the current pandemic creates an enormous public health challenge: some patients who have recovered from the acute symptoms of COVID-19 have persistent pulmonary dysfunction. New therapeutic options are needed to address the underlying inflammation and fibrotic mechanisms that lead to respiratory complications that persist following the resolution of COVID-19 infection.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Role of Fibrosis and Inflammation in Respiratory Complications and Related Sequelae that Persist Following the Resolution of COVID-19 Infection</w:t>
      </w:r>
    </w:p>
    <w:p>
      <w:pPr>
        <w:spacing w:after="0" w:line="14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COVID-19, as currently understood, the acute disease course can be modeled in three stages: first, an initial response mounted by the immune system to the virus; second, a secondary interferon-driven immune response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leading to lung tissue damage; and third, a final hyperinflammation in which an inflammatory macrophage response leads to aberrant lung tissue repair and ultimately fibrosis. As the disease progresses, patients with more severe disease have an imbalanced macrophage population in lung tissue tilted toward inflammation and fibrosis. The immune system transitions from repelling the initial insult to repair, but inflammation can lead instead to fibrosis (Figure X). Similar disease progression has been observed in patients with acute respiratory distress syndrome, or ARDS, undergoing mechanical ventilation.</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COVID-19 post-acute injuries appear to mimic respiratory complications of other viral pneumonias like Severe Acute Respiratory Syndrome, or SARS, and Middle East Respiratory Syndrome, or MERS. Up to one third of SARS and MERS survivors had abnormal pulmonary testing and lung imaging that persists for years. Post-acute injuries are hypothesized to be due to a cascade of inflammation and fibrosis that begins during the acute phase of COVID-19 and continues after the infection resolves the post-acute sequelae of the disease. A high proportion of mild, moderate and severe COVID-19 patients (up to 53 percent) already show signs of lung fibrosis at three weeks post symptom onset. Clinicians are also reporting lung fibrosis that persists beyond the acute infection, and of COVID-19 patients with pneumonia, 44 percent had fibrosis on CT imaging at 9 days post-discharge.</w:t>
      </w:r>
    </w:p>
    <w:p>
      <w:pPr>
        <w:spacing w:after="0" w:line="164"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Fibrosis in the lungs can impair lung capacity, pulmonary function, and gas exchange. In early studies of COVID-19 patients with lung fibrosis had higher rates of shortness of breath, or dyspnea, than those without fibrosis. Emerging data from pulmonary function testing also suggest quantitative changes in COVID-19 survivors who were hospitalized. After discharge, COVID-19 patients had reduced diffusing capacity of the lung for carbon monoxide percent predicted (DLCO percent), as well as other abnormal pulmonary function tests. The observed clinical time course of COVID-19 and its similarity to SARS may suggest a limited window of recovery for the lungs, with no additional healing of fibrotic lesions or diffusing capacity after a year. Similarly, patients who survive the acute phase of ARDS may either suffer from lingering long-term pulmonary complications or even develop progressive forms of pulmonary fibrosis. We believe resolving fibrosis is important for preventing post-acute complications, and there is likely a critical window of intervention in COVID-19 and other viral pneumonias. There are no approved therapies for post-acute respiratory complications of pneumonia driven by this process, and given the scale of the ongoing pandemic, novel therapies are urgently needed.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Unmet Need in Long COVID</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COVID-19 is causing a global crisis driven by acute illness and mortality. After the acute infection resolves, the persistent suffering by COVID-19 “long-haulers,” referred to as Long COVID, could lead to an unprecedented public health burden. Therapeutic options are needed for COVID-19 and subsequent respiratory viral outbreaks to blunt the inflammatory and fibrotic damage and prevent disability related to lung injury. Hundreds of clinical trials of anti-viral, anti-inflammatory and immuno-modulatory and other drugs, such as hydroxychloroquine, anti-coagulants, vasodilators, anti-angiogenics and others, are under way in COVID-19 patients. Very few, if any, of these trials are designed to test interventions for longer-term respiratory complications and sequelae of COVID-19 using anti-inflammatory and antifibrotic agents. The inflammatory excess in COVID-19 patients has prompted investigations of anti-inflammatory drugs, but outside of dexamethasone in severe patients, there has been limited success. Remdesivir, an anti-viral agent previously used for Ebola and other viral infections, has been shown to be effective in reducing the time of hospitalization from COVID-19. Whether remdesivir can prevent post-acute complications is unclear.</w:t>
      </w:r>
    </w:p>
    <w:p>
      <w:pPr>
        <w:spacing w:after="0" w:line="18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Pharmacologic interventions are needed that targets both inflammation and fibrosis to disrupt the molecular cascade that leads to lung fibrosis and potentially permanent loss of lung function.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LYT-100 for Long Covid Respiratory Complications and Related Sequelae</w:t>
      </w:r>
    </w:p>
    <w:p>
      <w:pPr>
        <w:spacing w:after="0" w:line="11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LYT-100 is designed to employ a multimodal mechanism of action that could potentially treat or prevent the respiratory complications and related sequelae of Long COVID. Our preclinical data suggest that LYT-100 has anti-fibrotic and anti-inflammatory activity. LYT-100 has been observed in preclinical studies to reduce pro-inflammatory cytokines and suppresse TGF-ß, which is associated with downstream signaling related to fibrosis.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LYT-100 (deupirfenidone) is a selectively deuterated form of pirfenidone. Pirfenidone has anti-inflammatory and anti-fibrotic properties. In animal models, it treats acute and prevents long-term lung injury, and pirfenidone slows the progression of idiopathic pulmonary fibrosis (IPF) and has been approved for the treatment of IPF in the United States and other countries. LYT-100 may have differentiated pharmacokinetic properties and activity compared to pirfenidone. LYT-100 is expected to be metabolized slower and with less variability between patients compared with pirfenidone. These unique pharmacokinetic properties may improve the tolerability and activity of pirfenidone, while retaining the proven antifibrotic and anti-inflammatory properties that could have the potential to treat COVID-19.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Relevant Data</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believe LYT-100’s potential clinical pharmacokinetics and mechanism of action make LYT-100 an attractive product candidate for addressing Long COVID respiratory complications and related sequelae. In preclinical studies, LYT-100 was observed to suppress IL-6 and TNF-α in rodent lipopolysaccharide (LPS) pretreatment models, which we believe are relevant to the acute inflammation and cytokine release triggered by COVID-19 infection.</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LYT-100 anti-fibrotic activity was also observed in preclinical studies, which could be relevant to the lung fibrosis that can affect COVID-19 survivors. COVID-19 patients can progress to respiratory distress and lung damage driven by pro-inflammatory and pro-fibrotic cytokines like TGF-ß. TGF-ß is considered a master regulator of fibrosis (Meng et al., 2016). It is a pluripotent mediator of extracellular matrix production, which in excess can replace normal tissue with non-functioning scar tissue. The figure below illustrates results from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fibrosis with primary mouse lung fibroblasts measuring TGF-ß induced soluble collagen, on the primary components of fibrotic tissue. In this study, which predated the pandemic and did not relate to COVID-19, TGF-ß increased the level of soluble collagen by 20 percent (p=0.0185). LYT-100 inhibited this TGF-ß-dependent increase by 36 percent (p=0.0001).</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 xml:space="preserve">In Vitro </w:t>
      </w:r>
      <w:r>
        <w:rPr>
          <w:rFonts w:ascii="Arial" w:cs="Arial" w:eastAsia="Arial" w:hAnsi="Arial"/>
          <w:sz w:val="18"/>
          <w:szCs w:val="18"/>
          <w:b w:val="1"/>
          <w:bCs w:val="1"/>
          <w:color w:val="auto"/>
        </w:rPr>
        <w:t>Reduction of TGF-ß1 Induced Soluble Collagen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171450</wp:posOffset>
            </wp:positionV>
            <wp:extent cx="3274695" cy="1791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7469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Planned Continued Development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May 2020, we announced plans for a global, randomized, placebo-controlled Phase 2 trial to evaluate the efficacy, safety and tolerability of LYT-100 in non-critical COVID-19 patients with respiratory complications. The trial will initially be conducted outside of the United States, and will require appropriate notifications and authorizations in those jurisdictions. We will also submit an IND to FDA, which, if approved, would allow us to enroll subjects in the United States. As currently designed and subject to review by regulatory authorities, patients will receive treatment for up to three months. The trial is expected to enroll up to 168 patients, with a</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primary endpoint measuring cardiopulmonary function. The trial is also currently planned to assess secondary endpoints of dyspnea and exploratory endpoints including pharmacokinetics, acute inflammatory biomarkers, imaging and patient-reported outcomes. Subject to regulatory approval, this trial is expected to begin in the second half of 2020, with topline results expected in second half of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 for Lymphedema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Lymphatic Disorders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Dysfunctions of the lymphatic system have remained largely untreated or poorly addressed by current therapeutics. Diseases of the lymphatics include lymphedema, lymphatic and vascular malformations, GI lymphangiectasia and others. Impaired lymphatic drainage in the tumor microenvironment can promote immune escape and considerably contribute towards lymphatic metastatic spread of cancer. Additionally, we believe that neurodegenerative diseases, such as Alzheimer’s disease, or AD, and Parkinson’s disease, may be treated by correcting aging and inflammation related brain lymphatic dysfunction. There has been little progress toward the development of meaningful treatments for lymphatic diseases, and there are currently no approved drug therapies that can treat disorders such as lymphedema. We are developing LYT-100 to target the underlying fibrosis and inflammation affecting the lymphatic system to potentially improve lymphatic function and treat lymphedema.</w:t>
      </w:r>
    </w:p>
    <w:p>
      <w:pPr>
        <w:spacing w:after="0" w:line="17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Lymphedema is a chronic condition that afflicts millions of people globally and is characterized by severe swelling in parts of the body, typically the arms or legs, due to the build-up of lymph fluid and inflammation, fibrosis and adipose deposition. By conservative estimates, lymphedema afflicts approximately one million people in the United States. Lymph is a clear fluid collected from body tissues that transports fats and proteins from the small intestine, removes bacteria, viruses, toxins and certain proteins from tissues and supplies white blood cells, specifically lymphocytes, to the bloodstream to help fight infections and other diseases. Secondary lymphedema is the most prevalent form of lymphedema. Secondary lymphedema can develop after surgery, infection or trauma, and is frequently caused by cancer, cancer treatments such as radiation and chemotherapy, trauma or infections resulting in damage to or the removal of lymph nodes.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Lymphedema is a serious disease with significant health consequences, including disfigurement. Lymphedema typically progresses through multiple stages, with increased fibrosis, limb volume and tissue changes. Approximately one million people in the United States have lymphedema, including approximately 500,000 breast cancer survivors with secondary lymphedema. Each year, up to one in five of the more than 250,000 Americans estimated to be diagnosed with breast cancer and that undergo surgery will develop secondary lymphedema. Beyond breast cancer, lymphedema can occur in up to 15 percent of cancer survivors with malignancies ranging from melanoma and sarcoma. A subset of lymphedema patients will also experience cellulitis, a bacterial skin infection that can enter through wounds in lymphedematous skin. Cellulitis often requires hospitalization and intravenous antibiotics to treat, and approximately half of patients with cellulitis will have recurrent episodes. Rarely, patients with chronic lymphedema may develop lymphangiosarcoma, a rare malignant tumor.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International Society of Lymphology classifies a lymphedematos limb based on staging that describes the condition of the limb, as illustrated in the table below. Within each clinical stage, clinicians use a measurement of limb swelling to capture disease severity described as mild, moderate or severe lymphedema.</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CLINICAL STAGES OF LYMPHEDEMA</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29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Symptoms</w:t>
            </w:r>
          </w:p>
        </w:tc>
        <w:tc>
          <w:tcPr>
            <w:tcW w:w="82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2"/>
          </w:tcPr>
          <w:p>
            <w:pPr>
              <w:ind w:left="880"/>
              <w:spacing w:after="0" w:line="155" w:lineRule="exact"/>
              <w:rPr>
                <w:sz w:val="20"/>
                <w:szCs w:val="20"/>
                <w:color w:val="auto"/>
              </w:rPr>
            </w:pPr>
            <w:r>
              <w:rPr>
                <w:rFonts w:ascii="Arial" w:cs="Arial" w:eastAsia="Arial" w:hAnsi="Arial"/>
                <w:sz w:val="14"/>
                <w:szCs w:val="14"/>
                <w:b w:val="1"/>
                <w:bCs w:val="1"/>
                <w:color w:val="auto"/>
              </w:rPr>
              <w:t>STAGE I</w:t>
            </w:r>
          </w:p>
        </w:tc>
        <w:tc>
          <w:tcPr>
            <w:tcW w:w="2320" w:type="dxa"/>
            <w:vAlign w:val="bottom"/>
            <w:tcBorders>
              <w:top w:val="single" w:sz="8" w:color="auto"/>
            </w:tcBorders>
          </w:tcPr>
          <w:p>
            <w:pPr>
              <w:ind w:left="840"/>
              <w:spacing w:after="0" w:line="155" w:lineRule="exact"/>
              <w:rPr>
                <w:sz w:val="20"/>
                <w:szCs w:val="20"/>
                <w:color w:val="auto"/>
              </w:rPr>
            </w:pPr>
            <w:r>
              <w:rPr>
                <w:rFonts w:ascii="Arial" w:cs="Arial" w:eastAsia="Arial" w:hAnsi="Arial"/>
                <w:sz w:val="14"/>
                <w:szCs w:val="14"/>
                <w:b w:val="1"/>
                <w:bCs w:val="1"/>
                <w:color w:val="auto"/>
              </w:rPr>
              <w:t>STAGE II</w:t>
            </w:r>
          </w:p>
        </w:tc>
        <w:tc>
          <w:tcPr>
            <w:tcW w:w="10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ind w:left="820"/>
              <w:spacing w:after="0" w:line="155" w:lineRule="exact"/>
              <w:rPr>
                <w:sz w:val="20"/>
                <w:szCs w:val="20"/>
                <w:color w:val="auto"/>
              </w:rPr>
            </w:pPr>
            <w:r>
              <w:rPr>
                <w:rFonts w:ascii="Arial" w:cs="Arial" w:eastAsia="Arial" w:hAnsi="Arial"/>
                <w:sz w:val="14"/>
                <w:szCs w:val="14"/>
                <w:b w:val="1"/>
                <w:bCs w:val="1"/>
                <w:color w:val="auto"/>
              </w:rPr>
              <w:t>STAGE 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40" w:type="dxa"/>
            <w:vAlign w:val="bottom"/>
            <w:tcBorders>
              <w:top w:val="single" w:sz="8" w:color="auto"/>
            </w:tcBorders>
            <w:vMerge w:val="continue"/>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Limb swelling, pitting edema,</w:t>
            </w:r>
          </w:p>
        </w:tc>
        <w:tc>
          <w:tcPr>
            <w:tcW w:w="200" w:type="dxa"/>
            <w:vAlign w:val="bottom"/>
          </w:tcPr>
          <w:p>
            <w:pPr>
              <w:spacing w:after="0"/>
              <w:rPr>
                <w:sz w:val="16"/>
                <w:szCs w:val="16"/>
                <w:color w:val="auto"/>
              </w:rPr>
            </w:pPr>
          </w:p>
        </w:tc>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Limb swelling, skin thickening,</w:t>
            </w:r>
          </w:p>
        </w:tc>
        <w:tc>
          <w:tcPr>
            <w:tcW w:w="100" w:type="dxa"/>
            <w:vAlign w:val="bottom"/>
          </w:tcPr>
          <w:p>
            <w:pPr>
              <w:spacing w:after="0"/>
              <w:rPr>
                <w:sz w:val="16"/>
                <w:szCs w:val="16"/>
                <w:color w:val="auto"/>
              </w:rPr>
            </w:pPr>
          </w:p>
        </w:tc>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Disfiguring limb swelling,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340" w:type="dxa"/>
            <w:vAlign w:val="bottom"/>
            <w:gridSpan w:val="3"/>
          </w:tcPr>
          <w:p>
            <w:pPr>
              <w:ind w:left="820"/>
              <w:spacing w:after="0"/>
              <w:rPr>
                <w:sz w:val="20"/>
                <w:szCs w:val="20"/>
                <w:color w:val="auto"/>
              </w:rPr>
            </w:pPr>
            <w:r>
              <w:rPr>
                <w:rFonts w:ascii="Arial" w:cs="Arial" w:eastAsia="Arial" w:hAnsi="Arial"/>
                <w:sz w:val="18"/>
                <w:szCs w:val="18"/>
                <w:color w:val="auto"/>
              </w:rPr>
              <w:t>limb heaviness and discomfort</w:t>
            </w:r>
          </w:p>
        </w:tc>
        <w:tc>
          <w:tcPr>
            <w:tcW w:w="2320" w:type="dxa"/>
            <w:vAlign w:val="bottom"/>
          </w:tcPr>
          <w:p>
            <w:pPr>
              <w:spacing w:after="0"/>
              <w:rPr>
                <w:sz w:val="20"/>
                <w:szCs w:val="20"/>
                <w:color w:val="auto"/>
              </w:rPr>
            </w:pPr>
            <w:r>
              <w:rPr>
                <w:rFonts w:ascii="Arial" w:cs="Arial" w:eastAsia="Arial" w:hAnsi="Arial"/>
                <w:sz w:val="18"/>
                <w:szCs w:val="18"/>
                <w:color w:val="auto"/>
                <w:w w:val="96"/>
              </w:rPr>
              <w:t>dermal fibrosis, fat deposition,</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hyperkeratosis, loss of skin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non-pitting edema</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elasticity, skin lesions and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w w:val="98"/>
              </w:rPr>
              <w:t>overgrowths, massive fibrosis</w:t>
            </w:r>
          </w:p>
        </w:tc>
        <w:tc>
          <w:tcPr>
            <w:tcW w:w="0" w:type="dxa"/>
            <w:vAlign w:val="bottom"/>
          </w:tcPr>
          <w:p>
            <w:pPr>
              <w:spacing w:after="0"/>
              <w:rPr>
                <w:sz w:val="1"/>
                <w:szCs w:val="1"/>
                <w:color w:val="auto"/>
              </w:rPr>
            </w:pPr>
          </w:p>
        </w:tc>
      </w:tr>
      <w:tr>
        <w:trPr>
          <w:trHeight w:val="216"/>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Additional clinical concerns</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w w:val="90"/>
              </w:rPr>
              <w:t>and fat deposition, elephantiasis</w:t>
            </w: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8100" w:type="dxa"/>
            <w:vAlign w:val="bottom"/>
            <w:gridSpan w:val="7"/>
          </w:tcPr>
          <w:p>
            <w:pPr>
              <w:ind w:left="820"/>
              <w:spacing w:after="0"/>
              <w:rPr>
                <w:sz w:val="20"/>
                <w:szCs w:val="20"/>
                <w:color w:val="auto"/>
              </w:rPr>
            </w:pPr>
            <w:r>
              <w:rPr>
                <w:rFonts w:ascii="Arial" w:cs="Arial" w:eastAsia="Arial" w:hAnsi="Arial"/>
                <w:sz w:val="18"/>
                <w:szCs w:val="18"/>
                <w:color w:val="auto"/>
              </w:rPr>
              <w:t>Lifelong need for compression therapy, chronic progression, repeated infections (cellulitis,</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100" w:type="dxa"/>
            <w:vAlign w:val="bottom"/>
            <w:gridSpan w:val="7"/>
          </w:tcPr>
          <w:p>
            <w:pPr>
              <w:ind w:left="820"/>
              <w:spacing w:after="0"/>
              <w:rPr>
                <w:sz w:val="20"/>
                <w:szCs w:val="20"/>
                <w:color w:val="auto"/>
              </w:rPr>
            </w:pPr>
            <w:r>
              <w:rPr>
                <w:rFonts w:ascii="Arial" w:cs="Arial" w:eastAsia="Arial" w:hAnsi="Arial"/>
                <w:sz w:val="18"/>
                <w:szCs w:val="18"/>
                <w:color w:val="auto"/>
              </w:rPr>
              <w:t>lymphangitis), elephantine skin changes, development of lymphangiosarcoma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lymphedema progresses into later stages, the affected limb can acquire a “woody texture” due to fibrosis. In addition to clinical staging, clinicians use a measurement of limb swelling to capture disease severity. For upper limb lymphedema, a relative limb volume of five to 20 percent is considered mild, a relative limb volume of 20 to 40 percent is considered moderate and a relative limb volume greater than 40 percent is considered severe. Cancer treatments lead to new lymphedema patients each year, the majority of which will have mild lymphedema: over 70 percent of patients with breast cancer related upper limb lymphedema have mild to moderate lymphedema, while the remainder have moderate to severe lymphedema. We intend to initially evaluate LYT-100 in the more common mild to moderate lymphedema patient population.</w:t>
      </w:r>
    </w:p>
    <w:p>
      <w:pPr>
        <w:spacing w:after="0" w:line="17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natural history of lymphedema is a chronic and progressive disorder, reflected in the increasing severity of limb swelling. The relative increase of limb volume in the affected limb compared to the unaffected limb worsens over time. It has been observed in patients with mild lymphedema that approximately 48 percent will progress to more severe stages during the first five years of follow-up. Because of the progressive nature of the disease, many patients will progress to the point where bandaging and compression are incapable of reducing limb volume. The potential loss of limb range of motion and function, the risk of secondary infections and complications and the disfigurement result in physical and emotional suffering in patients. Secondary lymphedema is a lifelong disease and the affected population is increasing each year due to improved survival of cancer patients, changes in patient and disease factors, including obesity, an aging population and increased use of radiation treatment.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Standard of Care</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current standard of care for lymphedema is management, primarily with compression and physical therapy to control swelling. These approaches are cumbersome, uncomfortable and non-curative, and they do not address the underlying disease, especially in patients with more severe lymphedema. Even with management, some patients will progress from mild-to-moderate lymphedema to more severe forms. Referral to current treatment regimens does not predict reversal or stabilization of lymphedema. In later stages, patients may also seek ablative surgeries, including liposuction or debulking. These surgeries reduce volume but do not restore lymphatic flow, and compression is still required to control swelling. There are currently no approved drug therapies that can treat the underlying causes of lymphedema. We believe the lack of treatments for lymphedema represents a major unmet medical need.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Role of Fibrosis and Inflammation in Lymphedema</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Inflammation and fibrosis play important roles in the pathophysiology of secondary lymphedema. Lymphatic injury activates chronic immune responses that promote fibrosis, reduce lymphatic flow and impair lymphatic formation. Targeting fibrosis in addition to inflammation may be a potentially effective way of ameliorating established lymphedema in patients.</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figure below depicts the feedback loop between inflammation and fibrosis driven lymphedema. The accumulation of TGF-ß1 results in increased fibrosis in tissue from patients with lymphedema. TGF-ß1 is a secreted protein that performs many cellular functions, including the control of cell growth, cell proliferation, cell differentiation and apoptosis. TGF- ß1 is a critical regulator of fibrosis, and lymphedematous tissue has increased TGF-ß1 staining. Inflammation is also present in lymphedematous limbs. Tissue samples from patients with lymphedema have increased presence of inflammatory cells. These cells can produce pro-inflammatory and pro-fibrotic cytokines, including TGF-ß1, to further the progression of lymphedema. The middle panel below shows lymphedema skin biopsy samples from lymphedematous and normal limbs of patients. Lymphedema skin samples showed increased immune infiltrate as evidenced by elevated levels of CD45+ immune cells in immunohistochemical staining. As shown in the right panel below, lymphedema skin biopsy samples from lymphedematous and normal limbs of patients show increased intracellular TGF-ß1 staining in immunohistochemical staining.</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Feedback Loop Driving Lymphedema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171450</wp:posOffset>
            </wp:positionV>
            <wp:extent cx="4629150" cy="1036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2915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Accumulation of collagen and fibrosis is seen in swelling associated with lymphedema. The figure below depicts the accumulation of CD45+ cells in the mouse tail model of lymphedema on the left, and the increase in total tissue volume and accumulation of collagen on the right.</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Accumulation of Collagen and Fibrosis in Mouse Lymphedema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171450</wp:posOffset>
            </wp:positionV>
            <wp:extent cx="4448810" cy="1791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4881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believe targeting the chronic inflammation and fibrosis associated with lymphedema with an oral therapy could potentially treat secondary lymphedema.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preclinical studies, LYT-100 showed greater anti-fibrotic and anti-inflammatory activity when compared to pirfenidone.</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Inflammation was also monitored in an LPS induced preclinical rodent model. The figure below illustrates the plasma concentrations of TNF-α, a pro-inflammatory cytokine and biomarker of inflammation, 90 minutes post-LPS injection. When 100 mg/kg doses of LYT-100 were administered one hour prior to LPS, TNF-α levels were 70 percent lower than those obtained using equivalent oral volumes of the vehicle control in this study.</w:t>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Preclinical Plasma Concentrations of TNF-</w:t>
      </w:r>
      <w:r>
        <w:rPr>
          <w:rFonts w:ascii="Arial" w:cs="Arial" w:eastAsia="Arial" w:hAnsi="Arial"/>
          <w:sz w:val="18"/>
          <w:szCs w:val="18"/>
          <w:color w:val="auto"/>
        </w:rPr>
        <w:t>α</w:t>
      </w:r>
      <w:r>
        <w:rPr>
          <w:rFonts w:ascii="Arial" w:cs="Arial" w:eastAsia="Arial" w:hAnsi="Arial"/>
          <w:sz w:val="18"/>
          <w:szCs w:val="18"/>
          <w:b w:val="1"/>
          <w:bCs w:val="1"/>
          <w:color w:val="auto"/>
        </w:rPr>
        <w:t xml:space="preserve"> with LYT-100 versus Pirfenidone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171450</wp:posOffset>
            </wp:positionV>
            <wp:extent cx="3789045" cy="32746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8904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Additionally, LYT-100 was tested by one of our academic collaborators in a rodent tail model of lymphedema. In this model, the lymphatics draining the tail are surgically damaged, resulting in tail swelling, inflammation and fibrosis mimicking human limb lymphedema. In the figures shown below, a control vehicle substance of LYT-100 was administered daily at a dose of 400 mg/kg orally starting two weeks after surgery, when the tail has already begun the process of lymphedema (n=7 per group). LYT-100 treatment halted progression of lymphedema and reduced the overall volume of the lymphedematous tail. Control animals continued to have increases in tail volumes and have double the tail volume by Week 4. In contrast, the LYT-100 group had a 71 percent decrease in tail volume compared to control by Week 6, nearly returning the tail volume back to the presurgical baseline. Representative tail images from both groups at 2 weeks and 6 weeks are shown below.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LYT-100 versus Control in Lymphedema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33775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0319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Results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LYT-100 was previously studied in a single dose crossover Phase 1 clinical trial of 24 healthy volunteers to assess safety and PK. The figure below illustrates single-dose PK at a 801 mg dose of LYT-100 and 801 mg dose of pirfenidone over 24 hours. LYT-100 has an approximately 35 percent increase in area under the curve systemic exposure and a 25 percent increase in C</w:t>
      </w:r>
      <w:r>
        <w:rPr>
          <w:rFonts w:ascii="Arial" w:cs="Arial" w:eastAsia="Arial" w:hAnsi="Arial"/>
          <w:sz w:val="14"/>
          <w:szCs w:val="14"/>
          <w:color w:val="auto"/>
        </w:rPr>
        <w:t>Max</w:t>
      </w:r>
      <w:r>
        <w:rPr>
          <w:rFonts w:ascii="Arial" w:cs="Arial" w:eastAsia="Arial" w:hAnsi="Arial"/>
          <w:sz w:val="17"/>
          <w:szCs w:val="17"/>
          <w:color w:val="auto"/>
        </w:rPr>
        <w:t xml:space="preserve"> relative to pirfenidone in this study. These results demonstrate that LYT-100 displays improved PK relative to pirfenidone and suggest the possibility of twice-daily dosing of LYT-100 in patients with lymphedema. In addition, LYT-100 was well-tolerated and there were no SAEs observed in the Phase 1 clinical trial of healthy volunteers.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1319"/>
        <w:spacing w:after="0"/>
        <w:rPr>
          <w:sz w:val="20"/>
          <w:szCs w:val="20"/>
          <w:color w:val="auto"/>
        </w:rPr>
      </w:pPr>
      <w:r>
        <w:rPr>
          <w:rFonts w:ascii="Arial" w:cs="Arial" w:eastAsia="Arial" w:hAnsi="Arial"/>
          <w:sz w:val="18"/>
          <w:szCs w:val="18"/>
          <w:b w:val="1"/>
          <w:bCs w:val="1"/>
          <w:color w:val="auto"/>
        </w:rPr>
        <w:t>24 Hour Single-Dose PK Profile of 801 mg of LYT-100 versus 801 mg of Pirfenidone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171450</wp:posOffset>
            </wp:positionV>
            <wp:extent cx="3703320" cy="2794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033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139"/>
          </w:cols>
          <w:pgMar w:left="320" w:top="459" w:right="1440"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Planned Continued Development</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March 2020, we announced the initiation of a multiple ascending dose study of LYT-100 to evaluate the safety, tolerability and PK profile of LYT-100 in healthy volunteers. Results from this trial are anticipated the second half of 2020, and a subsequent POC trial in people with breast cancer-related, upper limb secondary lymphedema is expected to begin in the second half of 2020 with topline results expected in the second half of 2021. For this POC study, we plan to recruit patients with mild-to-moderate lymphedema of the arm. The primary endpoint of the patient study will be safety of LYT-100. As secondary endpoints, we will also study outcome measures of lymphedema, including relative limb volume, bioimpedance spectroscopy – a measure of extracellular fluid change, tonometry, a measure of fibrosis, and serum levels of inflammatory and fibrotic biomarkers. The study may also examine patient reported outcomes using validated self-report instruments specific to upper-arm lymphedema. The study will not evaluate statistical significance versus placebo, as we expect to use data from the study to inform future clinical protocols, including future efficacy endpoints.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plan to pursue the foreign regulatory approvals needed to conduct the anticipated studies. We may seek FDA approval of LYT-100 using</w:t>
      </w:r>
    </w:p>
    <w:p>
      <w:pPr>
        <w:spacing w:after="0" w:line="3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Section 505(b)(2) of the Federal Food, Drug, and Cosmetic Act, which allows the submission of an NDA that relies in part on the FDA’s prior findings regarding the safety and effectiveness of approved drugs, which, if we are able to use this pathway, could expedite the development program for LYT-100 by potentially decreasing the overall scope of clinical data that we are required to present to support our application for the approval of LYT-100 in secondary lymphedema.</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 and the Treatment of Other Fibrosis and Inflammation-Related Diseases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Fibrosis and inflammation are a common mechanism across several lung diseases. There are acute diseases with high mortality or that lead to long-term fibrosis; chronic diseases linked to a specific cause, like a virus or autoimmune disease; and diseases like IPF, where the cause is less clear. In a large percentage of these various lung conditions, there are no approved treatments that address inflammation and fibrosis of the lungs. Many of these diseases can increase the risk for worsening of lung fibrosis, and there is a clear unmet need to stop inflammation and fibrosis and to preserve lung function. Even in IPF, for which pirfenidone is approved, high unmet need exists given pirfenidone’s dosing schedule and unfavorable tolerability profile which often leads to dose reduction or treatment discontinuation. Despite these unmet needs, pirfenidone sales peaked above $1 billion in 2018 and 2019.</w:t>
      </w:r>
    </w:p>
    <w:p>
      <w:pPr>
        <w:spacing w:after="0" w:line="19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plan to explore applications of LYT-100 where the anti-inflammatory and anti-fibrotic activity of pirfenidone has demonstrated clinical and preclinical activity, including IPF where pirfenidone is already approved for use, and other ILDs. There are serious limitations in the clinical use of pirfenidone in IPF and interstitial lung disease. Pirfenidone requires frequent dosing, which results in high peak to trough fluctuations in plasma concentrations, and side-effects leading to a &gt;25 percent treatment discontinuation rate. In Phase 3 studies, 77 percent of patients taking pirfenidone had dose interruptions or reductions because of AEs. The real-world evidence of pirfenidone use also highlights tolerability issues: in a large, multinational post-marketing study, 73 percent of patients experienced an AE, including 38 percent with GI symptoms, leading to a high discontinuation rate. The most common AEs of pirfenidone included GI symptoms (nausea, diarrhea, dyspepsia, vomiting), fatigue, rash, and photosensitivity reactions. Additionally, reversible elevations in liver enzymes were seen in a small proportion of patients, as were dizziness and weight loss. Thus, despite an intriguing mechanism of action, pirfenidone has PK shortcomings that may limit its use in IPF and other ILDs. A therapeutic compound which improves upon metabolism and dose exposure of pirfenidone, while retaining or exceeding its efficacy, would be an attractive therapeutic option for interstitial lung diseases. LYT-100 has demonstrated anti-fibrotic and anti-inflammatory activity with superior PK that has the potential for improved dosing, safety, and efficacy compared to pirfenidone.</w:t>
      </w:r>
    </w:p>
    <w:p>
      <w:pPr>
        <w:spacing w:after="0" w:line="17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Because of our insight into how inflammation and fibrosis affect lymphatic flow, we also plan to explore the application of LYT-100 in other lymphatic flow conditions. Millions of patients have lymphedema beyond breast cancer-related arm lymphedema and we believe LYT-100 may have potential to target the underlying mechanisms of other forms of secondary or primary lymphedema. We may also explore the potential use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LYT-100 in other inflammatory and fibrotic diseases including FSGS, a rare, progressive kidney disease that can lead to kidney failure and dialysis. An estimated more than 4,500 individuals in the United States develop FSGS every year, and there are no specific treatments designed to reduce fibrosis and inflammation in this disease. Treatment with immunosuppression is symptomatic and often does not prevent relapse and progression to end-stage renal disease. In a proof-of-concept study conducted by NIH that enrolled 21 adult patients with FSGS, pirfenidone prolonged renal survival by approximately 55 percent and a median improvement of 25 percent in the rate of decline of glomerular filtration rate. LYT-100’s anti-fibrotic activity suggests the potential to target kidney fibrosis in FSGS and provide a novel treatment for this disorder.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 and the Treatment of Brain and CNS Lymphatic-Related Disease</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lymphatic system is an important part of the immune system, GI system and CNS. Loss of lymphatic flow can play a critical role in diseases of these systems. We believe LYT-100, if successfully developed and approved, has the potential to address serious diseases of lymphatic flow.</w:t>
      </w:r>
    </w:p>
    <w:p>
      <w:pPr>
        <w:spacing w:after="0" w:line="12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One of our academic collaborators discovered a functional lymphatic system in the meninges of the brain that forms the basis of our meningeal lymphatics discovery research program. These meningeal lymphatics have been described as the “brain drain,” a route through which macromolecules are flushed from the brain in cerebrospinal fluid. Among the macromolecules that are drained via the lymphatics are pathogenic macromolecules such as amyloid-beta and tau, which are both associated with AD pathology, as well as alpha-synuclein, which is associated with Parkinson’s disease. Blocking the lymphatic flow increases levels of these molecules in the brain. In animal models of AD, AD-associated tauopathies and Parkinson’s disease, blockade of meningeal lymphatic flow significantly exacerbated disease progression and severity and improving flow through aged meningeal lymphatics improved cognitive brain function in these animal models. With aging, the lymphatic vessels that drain the brain become dysfunctional and no longer drain as efficiently. The “lymphedematous characteristics” of meningeal lymphatic vessels in aged animals might be leading to inefficient clearance of pathologic macromolecules and potentially increase risk for neurodegenerative diseases. Restoration of lymphatic flow may then be a novel class of therapies for neurodegeneration, and we believe that augmenting meningeal lymphatic vasculature function may potentially improve outcomes for a range of neurodegenerative and neuroinflammatory conditions that are not currently effectively treated.</w:t>
      </w:r>
    </w:p>
    <w:p>
      <w:pPr>
        <w:spacing w:after="0" w:line="17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are exploring multiple ways of altering lymphatic flow, both in the CNS and other parts of the body. Starting with LYT-100, we will continue to develop novel therapeutic candidates that target inflammation, fibrosis and other mechanisms that impair lymphatic flow. We also have ongoing discovery efforts to explore new mechanisms with the goal to advance, in-license and/or acquire assets that we can develop for diseases of lymphatic flow. We will use our network of collaborators and internal expertise in lymphatics to actively discover and develop novel solutions for diseases of the lymphatic system, including rare lymphatic diseases.</w:t>
      </w:r>
    </w:p>
    <w:p>
      <w:pPr>
        <w:spacing w:after="0" w:line="18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FDA and corresponding regulatory authorities will ultimately review our clinical results and determine whether our Wholly Owned product candidates are safe and effective. No regulatory agency has made any such determination that LYT-100 is safe or effective for use by the general public for any indication.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LYT-200 &amp; LYT-210: Targeting Immunosuppressive and Pathogenic Lymphocytes to Treat Intractable Cancers and Immunological Disorders</w:t>
      </w:r>
    </w:p>
    <w:p>
      <w:pPr>
        <w:spacing w:after="0" w:line="14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Hallmarks of cancer include dysregulated growth driven by both cellular oncogenes as well as the intratumoral microenvironment and local and systemic failures of the immune system to recognize cancer and mount an anti-tumor response. In cancer, a complex interaction of the tumor, tumor microenvironment and immune cells creates an immunosuppressive state, allowing cancer to evade the effects of many therapies as well as the attack of cytotoxic immune cells. Tumors can often express immunosuppressive factors, such as cell surface checkpoint molecules. For example, programmed death-ligand 1, or PD-L1, is a type of checkpoint overexpressed by cancer cells that suppress T cells, an important type of immune cell that normally responds to infections or cancer.</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 class of therapies known as checkpoint inhibitors has been developed to counteract tumor defenses against the immune system and includes therapies that target programmed cell death protein 1, or PD-1, PD-L1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cytotoxic T-lymphocyte-associated antigen 4, or CTLA-4. These marketed drugs have demonstrated encouraging clinical responses and durable benefit across a number of cancers and according to EvaluatePharma had sales exceeding $16 billion in 2018. Unfortunately, a great proportion of patients still do not respond or respond suboptimally to approved checkpoint inhibitors. In immunologically silent tumors such as pancreatic cancer, CRC and CCA, little, if any, efficacy has been seen to date with any of these agents. In the United States, there are approximately 57,000 new pancreatic cancer patients, of which 50 percent present with metastatic disease, approximately 146,000 new CRC patients, of which 35 percent present with metastatic disease, and approximately 8,000 new CCA patients, of which 50 percent present with metastatic disease, per year, representing a significant patient population that has yet to receive benefit from any immuno-therapy agents.</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order to identify assets with the potential to provide significant therapeutic benefit to cancer patients, we undertook a global, proactive search to discover important new scientific insights and technologies that could address the challenge of multiple mechanisms of immunosuppression in current therapeutics. During this search, we employed the following criteria:</w:t>
      </w:r>
    </w:p>
    <w:p>
      <w:pPr>
        <w:spacing w:after="0" w:line="8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Aim to avoid targets where others were developing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Address multiple pathways of immunosuppression via key immunological nodes;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Attempt to develop therapies for solid tumors where existing treatments are limited, including solid tumors where checkpoint inhibitors have failed;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Identify targets where therapeutic intervention has the potential for both single-agent activity and the potential to be used in combination with other immuno-oncology, and more broadly, other anti-cancer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Represent targets whose underlying biology enables them to have a favorable therapeutic window and a favorable safety margin;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Achieve significant preclinical validation;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Focus on targets whose higher levels are associated with aggressive diseases and poorer outcomes in people;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Focus on targets where mAbs could be effective.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Based on these criteria, and through our extensive network of advisors and collaborators, we identified two foundational immunosuppressive mechanisms involving galectin-9 and immunosuppressive gd1 T cells, which are the basis of developing LYT-200 and LYT-210, respectively, and which fulfill the above criteria for a potentially clinically beneficial, novel immuno-oncology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LYT-200: Our Immuno-Oncology Product Candidate Targeting Galectin-9, in Development for the Treatment of Solid Tumors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LYT-200 is a fully human IgG4 mAb that is designed to block galectin-9, which we are developing for the treatment of solid tumors, including pancreatic ductal adenocarcinoma, or PDAC, CRC and CCA, that do not respond to approved checkpoint inhibitors and have poor survival rates. We anticipate filing an IND for LYT-200 and initiating a Phase 1 study in solid tumors in 2020, with results anticipated in 2021.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LYT-200 could meet the criteria that we set out in defining a potential immuno-oncology therapeutic because:</w:t>
      </w:r>
    </w:p>
    <w:p>
      <w:pPr>
        <w:spacing w:after="0" w:line="131" w:lineRule="exact"/>
        <w:rPr>
          <w:sz w:val="20"/>
          <w:szCs w:val="20"/>
          <w:color w:val="auto"/>
        </w:rPr>
      </w:pPr>
    </w:p>
    <w:p>
      <w:pPr>
        <w:ind w:left="1080" w:right="700" w:hanging="424"/>
        <w:spacing w:after="0" w:line="308"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Galectin-9 promotes and facilitates multiple immunosuppressive pathways by, for example, expanding regulatory T cells, shifting macrophages from the M1 to M2 phenotype, and inducing apoptosis of activated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High expression of galectin-9 is evident in tumors and in cancer patients’ blood, and correlates with poor survival outcomes and aggressive disease in multiple solid tumor types;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1"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order to assess the effects of LYT-200 in murine models of cancer, a mouse monoclonal antibody, which we refer to as mIgGI-200, that targets the same epitope on galectin-9 was developed. A mouse IgG1 isotype has blocking function similar to the human IgG4 isotype. Preclinical evidence we generated has confirmed that mIgG1-200 is efficacious in inhibiting tumor growth in pancreatic cancer (KPC) and melanoma (B16F10) mouse models of cancer. We have used mIgG1-200 as single agent in both the pancreatic cancer (KPC) and the melanoma (B16F10) mouse models of cancer. In both of these models, compared to control, we saw a significant tumor growth reduction. Equally, in the KPC model we observed that administration of LYT-200 both as a single agent, and in combination with chemotherapy (gemcitabine/nab-paclitaxel), significantly prolonged survival of pancreatic tumor bearing mice, compared to control, while chemotherapy alone did not give a significant prolongation of survival compared to control animals;</w:t>
      </w:r>
    </w:p>
    <w:p>
      <w:pPr>
        <w:spacing w:after="0" w:line="83"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LYT-200 also activated effector T cells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models of patient derived tumor organoids (PDOTs) in multiple tumor types (pancreatic cancer, colon cancer, cholangiocarcinoma, etc.);</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While elevated in the context of cancer, galectin-9 has low expression under normal physiological conditions which indicates a potential safety window which has been further supported by the lack of tolerability concerns to date in our good laboratory practice, or GLP, studies with LYT-200 even at extremely high doses, such as 300 mg/kg in non-human primates (~100 mg/kg human equivalent dose);</w:t>
      </w:r>
    </w:p>
    <w:p>
      <w:pPr>
        <w:spacing w:after="0" w:line="54"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companies, to our knowledge, do not have clinical development programs around galectin-9 as a therapeutic target, and LYT-200 would represent a potentially innovative therapeutic. None of the other human galectins have been documented to play such a global role in immunosuppression in the context of cancer which galectin-9 plays; and</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believe that LYT-200 may be used as a single agent and safely in combination with checkpoint inhibitors and other systemic cancer treatments.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Galectin-9 has a unique capacity to switch off a multitude of immune mechanisms that would otherwise engage in fighting cancer; therefore, targeting this molecule has the potential to restore the immune system’s ability to attack cancer.</w:t>
      </w:r>
    </w:p>
    <w:p>
      <w:pPr>
        <w:spacing w:after="0" w:line="170"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Galectin-9 functions through multiple pathways by binding to carbohydrate motifs on cell surface molecules and receptors. It plays a critical regulatory role in immune cell response and homeostasis, and mediates immunoregulatory activities in several ways. Binding of galectin-9 to T cell immunoglobulin and mucin-domain containing-3, or TIM-3 for example, induces cell death of terminally differentiated TIM-3+ T helper cell, or Th1 and cluster of differentiation, or CD, 8+ T cells, as well as apoptosis of CD4+ Th1 cells. Galectin-9 binds to CD44 and cooperates with transforming growth factor beta, or TGF-ß, to promote T regulatory, or Treg, cell differentiation. Galectin-9 also favors expansion of immunosuppressive myeloid derived suppressor cells, or MDSCs, in the overall promotion of Th2/M2 differentiation, which ultimately favors tumor progression. Galectin-9 also functions to reduce the development of Th17 cells, and is immunomodulatory on tumor associated macrophages. Taking all this into consideration, galectin-9 is considered a potent mediator of cancer-associated immunosuppression.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Galectin-9 Proposed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171450</wp:posOffset>
            </wp:positionV>
            <wp:extent cx="5134610" cy="3420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3461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Image adapted from J Mol Biol; 428 (16): 3266-3281; 2016 Treg = T regulatory cell; MDSC = myeloid derived suppressor cell; M1/M2 = tumor associated macrophage (TAM)1 (immunoactive) and 2 (immunosuppressed) cell; Th1 = T helper1 cell</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High levels of tissue and/or circulating galectin-9 correlate with aggressive tumor features and adverse survival outcome in many tumor types. For example, galectin-9 levels are significantly increased in metastatic melanoma patient plasma, correlating with Th2 systemic bias and less favorable two-year clinical survival outcome. Galectin-9 is also highly expressed in human PDAC compared with normal pancreas tissue and present on both tumor and intratumoral immune cells. Moreover, high serum concentration of galectin-9 may be able to discriminate PDAC from benign pancreatic disease and healthy individuals and is potentially prognostic for stage IV patients. Plasma levels of galectin-9 are associated with a worse overall and disease-free survival, as well as chemoresistance, in ovarian cancer patients. In gastric cancer, patients with galectin-9 positive tumors have significantly lower overall and gastric cancer-specific mortalities. In yet another gastrointestinal tumor type, CRC, galectin-9 markedly inhibits the cytotoxicity of the gamma delta T cells towards colon cancer cells, indicating its immune-suppressive mechanism of action. In muscle invasive bladder cancer, tumor-associated macrophages expressing galectin-9 are associated increasing numbers of Treg cells and decreasing numbers of CD8 T and dendritic cells, indicating an immunosuppressed microenvironment, that in turn translates to increased tumor grade/stage and galectin-9 positive tumors with poor prognosis.</w:t>
      </w:r>
    </w:p>
    <w:p>
      <w:pPr>
        <w:spacing w:after="0" w:line="18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 nasopharyngeal carcinoma, or NPC, significant increase in the expression of galectin-9 positive tumor cells, with concomitant increase in Treg cells and decrease in CD8 T cells, is observed in recurrent tumor tissues, indicating that galectin-9 confers immunologic escape in NPC.</w:t>
      </w:r>
    </w:p>
    <w:p>
      <w:pPr>
        <w:spacing w:after="0" w:line="146"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High galectin-9 expression is highly correlated with expression of immune checkpoint molecules, M2 tumor-associated macrophages in the mesenchymal subtype of glioblastoma multiforme and in small cell lung cancer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correlates with high levels of neuron specific enolase and shorter survival. In breast cancer, surface galectin-9 protects carcinoma cells against cytotoxic T cell-induced death, while in non-small cell lung cancer, or NSCLC, there is a co-expression between galectin-9 and PD-L1, with high galectin-9 expression on immune cells correlating with early disease relapse. Moreover, early accumulation of MDSCs expressing galectin-9 in NSCLC is associated with primary and secondary resistance to anti-PD-1 treatment.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Collectively, these data, across multiple solid tumor types, may support the use of LYT-200 in relapsed/refractory, metastatic solid tumors.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basal physiological conditions, galectin-9 is weakly expressed in most tissues, with some abundance in the thymus and kidney.</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 example, the figure below illustrates the correlation between galectin-9 messenger ribonucleic acid, or mRNA, levels and decreased overall survival in pancreatic cancer. As shown below, high mRNA levels of galectin-9 in pancreatic cancer correlate to significantly shorter overall survival at five years, as represented by the red curve, compared to lower mRNA levels of galectin-9.</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mRNA Levels of Galectin-9 in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171450</wp:posOffset>
            </wp:positionV>
            <wp:extent cx="2983230" cy="2468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8323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figure below shows immunohistochemistry, or IHC, expression of galectin-9 in primary CRC and CRC liver metastasis. In staining of CRC samples with a reagent galectin-9 antibody, we observed high galectin-9 expression at the cell membrane and in the cytoplasm, both at the site of the primary tumor and the metastatic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Observed Galectin-9 Expression in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171450</wp:posOffset>
            </wp:positionV>
            <wp:extent cx="4088765" cy="2100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887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Additionally, data below represents staining patterns of galectin-9 in pancreatic cancer tissues, and we have observed the same IHC pattern in breast cancer and CCA as well. Namely, a variety of tumor types were assessed for the presence of galectin-9 using IHC of formalin-fixed, paraffin-embedded, or FFPE tissue samples. Over 1,000 samples of breast cancer, 141 samples of PDAC, and 99 samples of intrahepatic CCA, with available clinicopathologic information, were examined. Figures below show that strong and moderate tumor staining were associated with membranous expression of galectin-9 (p=0.004), and the tumors with strong expression correlated with worse outcomes. Strong galectin-9 expression conferred worse relapse free survival (p=0.052) and worse overall survival (p=0.044) in CCA.</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Representative IHC Staining of Galectin-9 in 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171450</wp:posOffset>
            </wp:positionV>
            <wp:extent cx="3977640" cy="4191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7764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139"/>
          </w:cols>
          <w:pgMar w:left="320" w:top="459" w:right="144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205740</wp:posOffset>
            </wp:positionV>
            <wp:extent cx="4766310" cy="29832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631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Additionally, we can detect galectin-9 levels in cancer patient blood which are much higher than in healthy individuals. The figure below depicts blood serum samples from 14 healthy subjects, 14 CRC and five pancreatic cancer patients that were evaluated for galectin-9 levels. Serum galectin-9 levels were measured using commercially available ELISA kits specifically for detection of human galectin-9. The data show increased galectin-9 levels in the serum of cancer patients compared to healthy subject controls. This assay indicates that galectin-9 overexpression occurs not only in cancer tissues but also in the blood of cancer patients.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Serum Galectin-9 Levels in Various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91710" cy="2802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9171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Results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Specifically, the binding affinity of LYT-200 to the C-terminal carbohydrate domain 2, or CRD2 and the non-binding CRD1 domains of mouse, rat, cynomolgus monkey and human galectin-9 was determined utilizing the Dynabead system (Invitrogen, ThermoFisher Scientific). Studies were conducted to assess cross species affinity to the CRD2 domain of galectin-9. CRD 1 and 2 domains of galectin-9 are domains used for interaction with binding partners and hence are relevant for therapeutic targeting.</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LYT-200 has been observed to have high specificity for its primary target galectin-9, as established in the protein array that assessed binding of LYT-200 to more than 5,000 cell bound and secreted human proteins.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Dapp</w:t>
      </w:r>
      <w:r>
        <w:rPr>
          <w:rFonts w:ascii="Arial" w:cs="Arial" w:eastAsia="Arial" w:hAnsi="Arial"/>
          <w:sz w:val="18"/>
          <w:szCs w:val="18"/>
          <w:b w:val="1"/>
          <w:bCs w:val="1"/>
          <w:color w:val="auto"/>
        </w:rPr>
        <w:t xml:space="preserve"> (nM) of LYT-200 to Galectin-9 Carbohydrate Domains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260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83"/>
              </w:rPr>
              <w:t>Species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Galectin-9 Carbohydrate Domain</w:t>
            </w:r>
          </w:p>
        </w:tc>
        <w:tc>
          <w:tcPr>
            <w:tcW w:w="2500" w:type="dxa"/>
            <w:vAlign w:val="bottom"/>
            <w:gridSpan w:val="3"/>
          </w:tcPr>
          <w:p>
            <w:pPr>
              <w:ind w:left="1840"/>
              <w:spacing w:after="0"/>
              <w:rPr>
                <w:sz w:val="20"/>
                <w:szCs w:val="20"/>
                <w:color w:val="auto"/>
              </w:rPr>
            </w:pPr>
            <w:r>
              <w:rPr>
                <w:rFonts w:ascii="Arial" w:cs="Arial" w:eastAsia="Arial" w:hAnsi="Arial"/>
                <w:sz w:val="14"/>
                <w:szCs w:val="14"/>
                <w:b w:val="1"/>
                <w:bCs w:val="1"/>
                <w:color w:val="auto"/>
              </w:rPr>
              <w:t>LYT-200</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vMerge w:val="continue"/>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79"/>
              </w:rPr>
              <w:t>Human</w:t>
            </w:r>
          </w:p>
        </w:tc>
        <w:tc>
          <w:tcPr>
            <w:tcW w:w="2140" w:type="dxa"/>
            <w:vAlign w:val="bottom"/>
            <w:vMerge w:val="continue"/>
          </w:tcPr>
          <w:p>
            <w:pPr>
              <w:spacing w:after="0"/>
              <w:rPr>
                <w:sz w:val="16"/>
                <w:szCs w:val="16"/>
                <w:color w:val="auto"/>
              </w:rPr>
            </w:pPr>
          </w:p>
        </w:tc>
        <w:tc>
          <w:tcPr>
            <w:tcW w:w="2080" w:type="dxa"/>
            <w:vAlign w:val="bottom"/>
          </w:tcPr>
          <w:p>
            <w:pPr>
              <w:jc w:val="center"/>
              <w:spacing w:after="0" w:line="195" w:lineRule="exact"/>
              <w:rPr>
                <w:sz w:val="20"/>
                <w:szCs w:val="20"/>
                <w:color w:val="auto"/>
              </w:rPr>
            </w:pPr>
            <w:r>
              <w:rPr>
                <w:rFonts w:ascii="Arial" w:cs="Arial" w:eastAsia="Arial" w:hAnsi="Arial"/>
                <w:sz w:val="18"/>
                <w:szCs w:val="18"/>
                <w:color w:val="auto"/>
                <w:w w:val="93"/>
              </w:rPr>
              <w:t>CRD1</w:t>
            </w:r>
          </w:p>
        </w:tc>
        <w:tc>
          <w:tcPr>
            <w:tcW w:w="2380" w:type="dxa"/>
            <w:vAlign w:val="bottom"/>
            <w:gridSpan w:val="2"/>
          </w:tcPr>
          <w:p>
            <w:pPr>
              <w:ind w:left="1700"/>
              <w:spacing w:after="0" w:line="195" w:lineRule="exact"/>
              <w:rPr>
                <w:sz w:val="20"/>
                <w:szCs w:val="20"/>
                <w:color w:val="auto"/>
              </w:rPr>
            </w:pPr>
            <w:r>
              <w:rPr>
                <w:rFonts w:ascii="Arial" w:cs="Arial" w:eastAsia="Arial" w:hAnsi="Arial"/>
                <w:sz w:val="18"/>
                <w:szCs w:val="18"/>
                <w:color w:val="auto"/>
                <w:w w:val="76"/>
              </w:rPr>
              <w:t>No binding</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jc w:val="center"/>
              <w:ind w:right="1580"/>
              <w:spacing w:after="0"/>
              <w:rPr>
                <w:sz w:val="20"/>
                <w:szCs w:val="20"/>
                <w:color w:val="auto"/>
              </w:rPr>
            </w:pPr>
            <w:r>
              <w:rPr>
                <w:rFonts w:ascii="Arial" w:cs="Arial" w:eastAsia="Arial" w:hAnsi="Arial"/>
                <w:sz w:val="18"/>
                <w:szCs w:val="18"/>
                <w:color w:val="auto"/>
                <w:w w:val="89"/>
              </w:rPr>
              <w:t>Human</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CRD2</w:t>
            </w:r>
          </w:p>
        </w:tc>
        <w:tc>
          <w:tcPr>
            <w:tcW w:w="2500" w:type="dxa"/>
            <w:vAlign w:val="bottom"/>
            <w:gridSpan w:val="3"/>
          </w:tcPr>
          <w:p>
            <w:pPr>
              <w:ind w:left="1700"/>
              <w:spacing w:after="0"/>
              <w:rPr>
                <w:sz w:val="20"/>
                <w:szCs w:val="20"/>
                <w:color w:val="auto"/>
              </w:rPr>
            </w:pPr>
            <w:r>
              <w:rPr>
                <w:rFonts w:ascii="Arial" w:cs="Arial" w:eastAsia="Arial" w:hAnsi="Arial"/>
                <w:sz w:val="18"/>
                <w:szCs w:val="18"/>
                <w:color w:val="auto"/>
                <w:w w:val="86"/>
              </w:rPr>
              <w:t>0.33 ± 0.07</w:t>
            </w:r>
          </w:p>
        </w:tc>
        <w:tc>
          <w:tcPr>
            <w:tcW w:w="0" w:type="dxa"/>
            <w:vAlign w:val="bottom"/>
          </w:tcPr>
          <w:p>
            <w:pPr>
              <w:spacing w:after="0"/>
              <w:rPr>
                <w:sz w:val="1"/>
                <w:szCs w:val="1"/>
                <w:color w:val="auto"/>
              </w:rPr>
            </w:pPr>
          </w:p>
        </w:tc>
      </w:tr>
      <w:tr>
        <w:trPr>
          <w:trHeight w:val="216"/>
        </w:trPr>
        <w:tc>
          <w:tcPr>
            <w:tcW w:w="314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Mouse</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CRD2</w:t>
            </w:r>
          </w:p>
        </w:tc>
        <w:tc>
          <w:tcPr>
            <w:tcW w:w="2500" w:type="dxa"/>
            <w:vAlign w:val="bottom"/>
            <w:gridSpan w:val="3"/>
          </w:tcPr>
          <w:p>
            <w:pPr>
              <w:ind w:left="1700"/>
              <w:spacing w:after="0"/>
              <w:rPr>
                <w:sz w:val="20"/>
                <w:szCs w:val="20"/>
                <w:color w:val="auto"/>
              </w:rPr>
            </w:pPr>
            <w:r>
              <w:rPr>
                <w:rFonts w:ascii="Arial" w:cs="Arial" w:eastAsia="Arial" w:hAnsi="Arial"/>
                <w:sz w:val="18"/>
                <w:szCs w:val="18"/>
                <w:color w:val="auto"/>
                <w:w w:val="86"/>
              </w:rPr>
              <w:t>0.42 ± 0.04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00" w:type="dxa"/>
            <w:vAlign w:val="bottom"/>
            <w:gridSpan w:val="2"/>
          </w:tcPr>
          <w:p>
            <w:pPr>
              <w:jc w:val="center"/>
              <w:ind w:right="2120"/>
              <w:spacing w:after="0"/>
              <w:rPr>
                <w:sz w:val="20"/>
                <w:szCs w:val="20"/>
                <w:color w:val="auto"/>
              </w:rPr>
            </w:pPr>
            <w:r>
              <w:rPr>
                <w:rFonts w:ascii="Arial" w:cs="Arial" w:eastAsia="Arial" w:hAnsi="Arial"/>
                <w:sz w:val="18"/>
                <w:szCs w:val="18"/>
                <w:color w:val="auto"/>
                <w:w w:val="85"/>
              </w:rPr>
              <w:t>Rat</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CRD2</w:t>
            </w:r>
          </w:p>
        </w:tc>
        <w:tc>
          <w:tcPr>
            <w:tcW w:w="2500" w:type="dxa"/>
            <w:vAlign w:val="bottom"/>
            <w:gridSpan w:val="3"/>
          </w:tcPr>
          <w:p>
            <w:pPr>
              <w:ind w:left="1700"/>
              <w:spacing w:after="0"/>
              <w:rPr>
                <w:sz w:val="20"/>
                <w:szCs w:val="20"/>
                <w:color w:val="auto"/>
              </w:rPr>
            </w:pPr>
            <w:r>
              <w:rPr>
                <w:rFonts w:ascii="Arial" w:cs="Arial" w:eastAsia="Arial" w:hAnsi="Arial"/>
                <w:sz w:val="18"/>
                <w:szCs w:val="18"/>
                <w:color w:val="auto"/>
                <w:w w:val="86"/>
              </w:rPr>
              <w:t>1.28 ± 0.06</w:t>
            </w:r>
          </w:p>
        </w:tc>
        <w:tc>
          <w:tcPr>
            <w:tcW w:w="0" w:type="dxa"/>
            <w:vAlign w:val="bottom"/>
          </w:tcPr>
          <w:p>
            <w:pPr>
              <w:spacing w:after="0"/>
              <w:rPr>
                <w:sz w:val="1"/>
                <w:szCs w:val="1"/>
                <w:color w:val="auto"/>
              </w:rPr>
            </w:pPr>
          </w:p>
        </w:tc>
      </w:tr>
      <w:tr>
        <w:trPr>
          <w:trHeight w:val="230"/>
        </w:trPr>
        <w:tc>
          <w:tcPr>
            <w:tcW w:w="3140" w:type="dxa"/>
            <w:vAlign w:val="bottom"/>
            <w:gridSpan w:val="3"/>
          </w:tcPr>
          <w:p>
            <w:pPr>
              <w:jc w:val="center"/>
              <w:ind w:right="1580"/>
              <w:spacing w:after="0"/>
              <w:rPr>
                <w:sz w:val="20"/>
                <w:szCs w:val="20"/>
                <w:color w:val="auto"/>
              </w:rPr>
            </w:pPr>
            <w:r>
              <w:rPr>
                <w:rFonts w:ascii="Arial" w:cs="Arial" w:eastAsia="Arial" w:hAnsi="Arial"/>
                <w:sz w:val="18"/>
                <w:szCs w:val="18"/>
                <w:color w:val="auto"/>
                <w:w w:val="92"/>
              </w:rPr>
              <w:t>Cynomolgus Monkey</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CRD2</w:t>
            </w:r>
          </w:p>
        </w:tc>
        <w:tc>
          <w:tcPr>
            <w:tcW w:w="2500" w:type="dxa"/>
            <w:vAlign w:val="bottom"/>
            <w:gridSpan w:val="3"/>
          </w:tcPr>
          <w:p>
            <w:pPr>
              <w:ind w:left="1700"/>
              <w:spacing w:after="0"/>
              <w:rPr>
                <w:sz w:val="20"/>
                <w:szCs w:val="20"/>
                <w:color w:val="auto"/>
              </w:rPr>
            </w:pPr>
            <w:r>
              <w:rPr>
                <w:rFonts w:ascii="Arial" w:cs="Arial" w:eastAsia="Arial" w:hAnsi="Arial"/>
                <w:sz w:val="18"/>
                <w:szCs w:val="18"/>
                <w:color w:val="auto"/>
                <w:w w:val="86"/>
              </w:rPr>
              <w:t>0.31 ± 0.03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The binding affinity of LYT-200 to CRD2 domain was similar and in the low nanomolar range between human, mouse and monkey models and three to four times weaker in the rat model although still within low nanomolar range. LYT-200 and mIgG1-200 share the same antibody variable region, and as a result have comparable binding affinities for the CRD2 domain of galectin-9 across the four species tested. Furthermore, both monoclonal antibodies are specific for the CRD2 domain, as no binding was detected to the CRD1 domain of human galectin-9.</w:t>
      </w:r>
    </w:p>
    <w:p>
      <w:pPr>
        <w:spacing w:after="0" w:line="17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Binding affinity of LYT-200 to cell surface galectin-9 was determined using human colon cancer cells (left panel; CRL-2134 cells) and a galectin-9 negative cell line (right panel; HEK-293 cells). Secondary antibody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(2 only) condition was used as a control where no binding to galectin-9 is expected nor seen. Based on these saturation curves, a cell-based K</w:t>
      </w:r>
      <w:r>
        <w:rPr>
          <w:rFonts w:ascii="Arial" w:cs="Arial" w:eastAsia="Arial" w:hAnsi="Arial"/>
          <w:sz w:val="15"/>
          <w:szCs w:val="15"/>
          <w:color w:val="auto"/>
        </w:rPr>
        <w:t>D</w:t>
      </w:r>
      <w:r>
        <w:rPr>
          <w:rFonts w:ascii="Arial" w:cs="Arial" w:eastAsia="Arial" w:hAnsi="Arial"/>
          <w:sz w:val="18"/>
          <w:szCs w:val="18"/>
          <w:color w:val="auto"/>
        </w:rPr>
        <w:t xml:space="preserve"> for LYT-200 was determined to be 0.41 ± 0.07 nM.</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LYT-200 Binding to CRL-2134 and HEK-293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171450</wp:posOffset>
            </wp:positionV>
            <wp:extent cx="2880360" cy="1774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803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next assessed the ability of LYT-200 to block interactions with galectin-9 specific binding protein, CD206. CD206 is a receptor found on the surface of macrophages, and is a known binding protein/receptor for galectin-9. An ELISA format was used to first demonstrate that CD206 and galectin-9 are a receptor-ligand pair and secondly to show that the addition of LYT-200 could inhibit this interaction.</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LYT-200 Blocks CD206-Galectin-9 Interaction in a Dose 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171450</wp:posOffset>
            </wp:positionV>
            <wp:extent cx="3094355" cy="2082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9435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These data indicate that LYT-200 has the ability to block a functional activity of galectin-9, namely, interaction with a specific binding partner/receptor, CD206. This assay demonstrates the desired and expected blocking function of LYT-200 as the fully human IgG4 mAb.</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We next observed that LYT-200 could protect T cells from galectin-9 induced apoptosis, as illustrated in the figure below. The presence of galectin-9 (red square) significantly increased cell death compared to culture in the absence of galectin-9 (black circle). The addition of LYT-200 to the culture of MOLM-13 cells in the presence of galectin-9 (blue circle) significantly reduced the observed percentage of cell death in a dose dependent manner.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IC</w:t>
      </w:r>
      <w:r>
        <w:rPr>
          <w:rFonts w:ascii="Arial" w:cs="Arial" w:eastAsia="Arial" w:hAnsi="Arial"/>
          <w:sz w:val="15"/>
          <w:szCs w:val="15"/>
          <w:color w:val="auto"/>
        </w:rPr>
        <w:t>50</w:t>
      </w:r>
      <w:r>
        <w:rPr>
          <w:rFonts w:ascii="Arial" w:cs="Arial" w:eastAsia="Arial" w:hAnsi="Arial"/>
          <w:sz w:val="18"/>
          <w:szCs w:val="18"/>
          <w:color w:val="auto"/>
        </w:rPr>
        <w:t xml:space="preserve"> for this assay is approximately 60 nM galectin-9. This assay supports the desired and expected functional activity of LYT-200 in blocking galectin-9 interactions on T cells which results in T cell apoptosis as well as a broad ability of LYT-200 to intercept galectin-9 - receptor interactions, since T cell death does not occur through interactions with CD206.</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LYT-200 Protects MOLM-13 T Cells from Galectin-9-Mediate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171450</wp:posOffset>
            </wp:positionV>
            <wp:extent cx="3531870" cy="17659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3187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ortothopic KPC mouse model is commonly used as a preclinical model for evaluating PDAC biology and therapeutic agent efficacy. Our academic collaborator previously showed that blocking galectin-9 with a murine galectin-9 antibody demonstrated significantly extended survival in a mouse KPC pancreatic cancer model. Anti-PD-1 checkpoint inhibitors have previously proven ineffective in this xenograft model. As noted previously, to further characterize the potential of LYT-200, we created a mouse LYT-200, or mIgG1-200, by cloning the antigen binding domain of LYT-200 into a murine antibody backbone. We confirmed this observation of single agent activity in the KPC mouse pancreatic cancer model illustrated in the figure below. We have also combined mIgG1-200 with the standard of care for pancreatic cancer, (e.g., chemotherapy, gemcitabine/nab-paclitaxel) in the KPC model and shown that both as a single agent and in combination, mIgG1-200 extends the life of mice bearing pancreatic cancer.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LYT-200 Mouse mAb Activity in Orthotopic Pancreatic Cancer KPC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171450</wp:posOffset>
            </wp:positionV>
            <wp:extent cx="1757045" cy="2743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570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also observed clear improvement in survival of these animals treated with LYT-200 mouse mAb, indicated as anti-galectin-9, versus controls (p=0.005), as illustrated in the figure below.</w:t>
      </w:r>
    </w:p>
    <w:p>
      <w:pPr>
        <w:spacing w:after="0" w:line="27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Targeting Galectin-9 and Survival in KPC Pancreatic Cancer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171450</wp:posOffset>
            </wp:positionV>
            <wp:extent cx="3917315" cy="1731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1731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520"/>
          </w:cols>
          <w:pgMar w:left="320" w:top="459" w:right="10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Effect of LYT-200 on Survival of Mice Implanted with Orthotopic Pancreatic Tumors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Kaplan Meier Survival Curve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168910</wp:posOffset>
            </wp:positionV>
            <wp:extent cx="3600450" cy="3351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0045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Group 1: Untreated; Group 4: mIgG1-200 (200mg); Group 5: gemcitabine (50 mg/kg) plus Abraxane (15 mg/kg); Group 6: Combination of mIgG1-200 and gemicitabine+Abraxane at same doses. A significant survival benefit was delivered by treatment with mIgG1-200 alone, compared to the untreated controls (Group 4 versus Group 1: Hazard Ratio (HR)=0.348, 95%CI= (0.146, 0.83), p=0.017). The combination treatment provided an additional survival benefit over untreated animals (Group 6 vs Group 1: HR=0.336, 95% CI= (0.14, 0.806), p=0.015)</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Cox Regression Analysis: Groups 4, 5 &amp; 6 against Group 1</w:t>
      </w:r>
    </w:p>
    <w:p>
      <w:pPr>
        <w:spacing w:after="0" w:line="244" w:lineRule="exact"/>
        <w:rPr>
          <w:sz w:val="20"/>
          <w:szCs w:val="20"/>
          <w:color w:val="auto"/>
        </w:rPr>
      </w:pPr>
    </w:p>
    <w:tbl>
      <w:tblPr>
        <w:tblLayout w:type="fixed"/>
        <w:tblInd w:w="2000" w:type="dxa"/>
        <w:tblCellMar>
          <w:top w:w="0" w:type="dxa"/>
          <w:left w:w="0" w:type="dxa"/>
          <w:bottom w:w="0" w:type="dxa"/>
          <w:right w:w="0" w:type="dxa"/>
        </w:tblCellMar>
      </w:tblPr>
      <w:tr>
        <w:trPr>
          <w:trHeight w:val="191"/>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0" w:type="dxa"/>
            <w:vAlign w:val="bottom"/>
          </w:tcPr>
          <w:p>
            <w:pPr>
              <w:spacing w:after="0"/>
              <w:rPr>
                <w:sz w:val="16"/>
                <w:szCs w:val="16"/>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P-value</w:t>
            </w: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HR</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HR(95%CI)</w:t>
            </w:r>
          </w:p>
        </w:tc>
      </w:tr>
      <w:tr>
        <w:trPr>
          <w:trHeight w:val="185"/>
        </w:trPr>
        <w:tc>
          <w:tcPr>
            <w:tcW w:w="4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4</w:t>
            </w:r>
          </w:p>
        </w:tc>
        <w:tc>
          <w:tcPr>
            <w:tcW w:w="120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3"/>
              </w:rPr>
              <w:t>0.017</w:t>
            </w:r>
          </w:p>
        </w:tc>
        <w:tc>
          <w:tcPr>
            <w:tcW w:w="20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8"/>
              </w:rPr>
              <w:t>0.348</w:t>
            </w:r>
          </w:p>
        </w:tc>
        <w:tc>
          <w:tcPr>
            <w:tcW w:w="160" w:type="dxa"/>
            <w:vAlign w:val="bottom"/>
          </w:tcPr>
          <w:p>
            <w:pPr>
              <w:spacing w:after="0"/>
              <w:rPr>
                <w:sz w:val="16"/>
                <w:szCs w:val="16"/>
                <w:color w:val="auto"/>
              </w:rPr>
            </w:pPr>
          </w:p>
        </w:tc>
        <w:tc>
          <w:tcPr>
            <w:tcW w:w="20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(0.146, 0.83)</w:t>
            </w:r>
          </w:p>
        </w:tc>
      </w:tr>
      <w:tr>
        <w:trPr>
          <w:trHeight w:val="216"/>
        </w:trPr>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3320" w:type="dxa"/>
            <w:vAlign w:val="bottom"/>
            <w:gridSpan w:val="2"/>
          </w:tcPr>
          <w:p>
            <w:pPr>
              <w:jc w:val="center"/>
              <w:ind w:left="1090"/>
              <w:spacing w:after="0"/>
              <w:rPr>
                <w:sz w:val="20"/>
                <w:szCs w:val="20"/>
                <w:color w:val="auto"/>
              </w:rPr>
            </w:pPr>
            <w:r>
              <w:rPr>
                <w:rFonts w:ascii="Arial" w:cs="Arial" w:eastAsia="Arial" w:hAnsi="Arial"/>
                <w:sz w:val="18"/>
                <w:szCs w:val="18"/>
                <w:color w:val="auto"/>
                <w:w w:val="93"/>
              </w:rPr>
              <w:t>0.262</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0.624</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(0.274, 1.422)</w:t>
            </w:r>
          </w:p>
        </w:tc>
      </w:tr>
      <w:tr>
        <w:trPr>
          <w:trHeight w:val="234"/>
        </w:trPr>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3320" w:type="dxa"/>
            <w:vAlign w:val="bottom"/>
            <w:gridSpan w:val="2"/>
          </w:tcPr>
          <w:p>
            <w:pPr>
              <w:jc w:val="center"/>
              <w:ind w:left="1090"/>
              <w:spacing w:after="0"/>
              <w:rPr>
                <w:sz w:val="20"/>
                <w:szCs w:val="20"/>
                <w:color w:val="auto"/>
              </w:rPr>
            </w:pPr>
            <w:r>
              <w:rPr>
                <w:rFonts w:ascii="Arial" w:cs="Arial" w:eastAsia="Arial" w:hAnsi="Arial"/>
                <w:sz w:val="18"/>
                <w:szCs w:val="18"/>
                <w:color w:val="auto"/>
                <w:w w:val="93"/>
              </w:rPr>
              <w:t>0.015</w:t>
            </w: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0.336</w:t>
            </w:r>
          </w:p>
        </w:tc>
        <w:tc>
          <w:tcPr>
            <w:tcW w:w="1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(0.14, 0.806)</w:t>
            </w:r>
          </w:p>
        </w:tc>
      </w:tr>
    </w:tbl>
    <w:p>
      <w:pPr>
        <w:spacing w:after="0" w:line="20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also explored the activity of mIgG1-200 in a B16F10 melanoma mouse model, a model commonly used to assess the activity of checkpoint inhibitors. mIgG1-200 reduced mean tumor weights by ~50 percent while an anti-PD-1 antibody reduced mean tumor weights by ~22 percent. We also observed that when an anti-PD-1 antibody was used in conjunction with mIgG1-200, there was doubling of cytotoxic T cells in the tumor in the melanoma model.</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One of the major challenges in oncology research is the translation from mouse models to humans, particularly in the case of immuno-oncology. To address this concern, we tested LYT-200 in PDOT cultures that mimic human tumor physiology and tumor microenvironment content. PDOTs are tumor excisions from primary and metastatic sites from PDAC, CRC, CCA, hepatocellular carcinoma and neuroendocrine tumors of the GI tract. Since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immune system within the tumor microenvironment is suppressed, the aim of treating PDOTs was to assess LYT-200’s ability to induce T cell activation which would indicate that LYT-200 could show activity in humans. We observed that LYT-200 potently and reproducibly activated T cells in 56 percent of the samples tested (n=23), which we believe is indicative of a potential high response rate in cancer types which have currently been unresponsive to checkpoint blockade or where response rates do not surpass 20 percent. The figure below depicts a patient derived organoid system.</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Illustration of PDOT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490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established PDOTs from tumor tissues surgically excised from cancer patients. Organoids containing the tumor microenvironment were processed by flow cytometry to establish the percentage of galectin-9 positive cells. We treated organoids containing the tumor microenvironment with LYT-200 and measured biomarkers of T cell activation such as TNF-α, interferon g, or IFNg and CD44. The figure below is an example of data from 23 human tumor organoid samples. Positive response in the organoid model was defined as an increase of more than 20 percent in at least two of three measured T cell activation markers, TNFα, IFNg and CD44.</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Examples of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T Cell Activation with LYT-200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2028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GLP toxicology studies were carried out in Sprague Dawley rats and cynomolgus monkeys. No safety pharmacology findings attributed to LYT-200 at doses as high as 300 mg/kg/week were observed in either species.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Planned Clinical Development</w:t>
      </w:r>
    </w:p>
    <w:p>
      <w:pPr>
        <w:spacing w:after="0" w:line="11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Our first-in-human study of LYT-200 is intended to evaluate the safety, tolerability, PK and pharmacodynamics, or PD, and identify the recommended Phase 2 dose, or RP2D, for LYT-200 further evaluation as a single agent. This trial is being designed to permit inclusion of relevant drug combinations with LYT-200 in an expansion cohort setting for the treatment of certain solid tumors, including CCA, CRC and pancreatic cancer. We expect to file an IND and initiate this trial in the second half of 2020, with results anticipated in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LYT-200 Clinical Trial Design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planned clinical trial of LYT-200 is a Phase 1 open label non-randomized clinical trial of LYT-200 alone or in combination with chemotherapy or an approved anti-PD-1 agent in relapsed/refractory metastatic patients.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plan to initiate a clinical trial under a dose escalation with dose expansion protocol as per recent FDA guidelines. The dose finding part of the study will be open to all comers, metastatic cancer patients with solid tumors who have failed previous lines of treatment. We intend to identify an RP2D of LYT-200 for further evaluation as a single agent and evaluate the safety of the RP2D in combination with chemotherapy and an approved checkpoint inhibitor. After the tolerability and RP2D have been determined, we plan to proceed with expansion cohorts in pancreatic cancer, CRC and CCA as pre-planned expansion cohort tumor types. We also plan to allow subjects with other tumor types to enroll in expansion cohorts as well based on the results from the dose finding part of the trial. In the expansion cohort, we plan to assess progression free survival benefit in pancreatic cancer and effect of potential tumor shrinkage in CRC and CCA. Throughout the study we plan to collect tumor tissue samples through biopsies as well as patient blood samples. These will be used to measure galectin-9 levels as well as many other immunological and tumor biomarkers that could help us further tailor the clinical trial and identify patients that we believe have highest likelihood to benefit.</w:t>
      </w:r>
    </w:p>
    <w:p>
      <w:pPr>
        <w:spacing w:after="0" w:line="18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FDA and corresponding regulatory authorities will ultimately review our clinical results and determine whether our Wholly Owned product candidates are safe and effective. No regulatory agency has made any such determination that LYT-200 is safe or effective for use by the general public for any indication.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LYT-210: Our </w:t>
      </w:r>
      <w:r>
        <w:rPr>
          <w:rFonts w:ascii="Arial" w:cs="Arial" w:eastAsia="Arial" w:hAnsi="Arial"/>
          <w:sz w:val="17"/>
          <w:szCs w:val="17"/>
          <w:color w:val="auto"/>
        </w:rPr>
        <w:t>gd</w:t>
      </w:r>
      <w:r>
        <w:rPr>
          <w:rFonts w:ascii="Arial" w:cs="Arial" w:eastAsia="Arial" w:hAnsi="Arial"/>
          <w:sz w:val="17"/>
          <w:szCs w:val="17"/>
          <w:b w:val="1"/>
          <w:bCs w:val="1"/>
          <w:i w:val="1"/>
          <w:iCs w:val="1"/>
          <w:color w:val="auto"/>
        </w:rPr>
        <w:t xml:space="preserve">1 T Cell Focused Product Candidate Targeting Immunosuppressive and Pathogenic </w:t>
      </w:r>
      <w:r>
        <w:rPr>
          <w:rFonts w:ascii="Arial" w:cs="Arial" w:eastAsia="Arial" w:hAnsi="Arial"/>
          <w:sz w:val="17"/>
          <w:szCs w:val="17"/>
          <w:color w:val="auto"/>
        </w:rPr>
        <w:t>gd</w:t>
      </w:r>
      <w:r>
        <w:rPr>
          <w:rFonts w:ascii="Arial" w:cs="Arial" w:eastAsia="Arial" w:hAnsi="Arial"/>
          <w:sz w:val="17"/>
          <w:szCs w:val="17"/>
          <w:b w:val="1"/>
          <w:bCs w:val="1"/>
          <w:i w:val="1"/>
          <w:iCs w:val="1"/>
          <w:color w:val="auto"/>
        </w:rPr>
        <w:t>1 T Cells for Immuno-Oncology</w:t>
      </w:r>
    </w:p>
    <w:p>
      <w:pPr>
        <w:spacing w:after="0" w:line="1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LYT-210 is a fully human IgG1 mAb directed against the d1 chain of T cells bearing gdT cell receptors, or TCRs, we are designing for antibody-dependent cell-mediated cytotoxicity and antibody-dependent cellular phagocytosis, or ADCP. Similar to LYT-200, we believe that gd1 T cells represent an important new immuno-oncology target because they:</w:t>
      </w:r>
    </w:p>
    <w:p>
      <w:pPr>
        <w:spacing w:after="0" w:line="89"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Activate multiple immunosuppressive pathways;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Have expression correlated with poor outcomes for multiple solid tumor types;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Have preclinical evidence that showed improvement in survival in the KPC pancreatic cancer mouse model where approved checkpoint inhibitors are ineffective. We have since obtained data with anti-d1 antibodies in PDOT systems;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While elevated in the context of cancer, have low expression under normal physiological conditions which indicates a potential safety window;</w:t>
      </w:r>
    </w:p>
    <w:p>
      <w:pPr>
        <w:spacing w:after="0" w:line="75" w:lineRule="exact"/>
        <w:rPr>
          <w:rFonts w:ascii="Arial" w:cs="Arial" w:eastAsia="Arial" w:hAnsi="Arial"/>
          <w:sz w:val="18"/>
          <w:szCs w:val="18"/>
          <w:color w:val="auto"/>
        </w:rPr>
      </w:pPr>
    </w:p>
    <w:p>
      <w:pPr>
        <w:ind w:left="1080" w:right="11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 an attractive target; to our knowledge, there are no other companies developing a therapeutic candidate targeting immunosuppressive and pathogenic gd1 T cells;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believe are an amenable target against which to generate a mAb.</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Different T Cell Subtypes With the Focus on </w:t>
      </w:r>
      <w:r>
        <w:rPr>
          <w:rFonts w:ascii="Arial" w:cs="Arial" w:eastAsia="Arial" w:hAnsi="Arial"/>
          <w:sz w:val="18"/>
          <w:szCs w:val="18"/>
          <w:color w:val="auto"/>
        </w:rPr>
        <w:t>gd</w:t>
      </w:r>
      <w:r>
        <w:rPr>
          <w:rFonts w:ascii="Arial" w:cs="Arial" w:eastAsia="Arial" w:hAnsi="Arial"/>
          <w:sz w:val="18"/>
          <w:szCs w:val="18"/>
          <w:i w:val="1"/>
          <w:iCs w:val="1"/>
          <w:color w:val="auto"/>
        </w:rPr>
        <w:t>T Cells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normal physiological conditions, most T cells express the gd TCR, whereas gd T cells express the gd TCR. gd T cells are further classified based on d chain class, either gd1, gd2 or gd3 T cells. In healthy individuals,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most abundant gd T cells are gd2, which are typically found in the blood and are cytotoxic by function. gd1 T cells can also be found in the blood but in much smaller numbers in healthy people. gd1 T cells are also present in mucosal membranes and skin in healthy people. In cancer patients, immunosuppressive gd1 T cells become more abundant in tumors and blood than gd2 T cells and create an immunosuppressive tumor microenvironment, as illustrated on the left side of the figure below. gd2 T cell cytotoxic functions are being evaluated by others as adoptive T cell therapeutics in early stage trials which is different from our approach of targeting immunosuppressive gd1 T cells.</w:t>
      </w:r>
    </w:p>
    <w:p>
      <w:pPr>
        <w:spacing w:after="0" w:line="176"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We are targeting depletion of immunosuppressive, tumorigenic gd1 T cells rather than administration of cytotoxic gd2 T cells as a cell therapy. gd1 T cells execute potent immunosuppressive function via multiple mechanisms, as illustrated on the left side of the figure below, which facilitates cancer progression. We are designing LYT-210 to eliminate gd1 T cells, and thereby potentially relieve immunosuppression, which we believe could enable immune mediated cancer attack.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322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Elevated numbers of gd1 T cells have been observed in many cancer types, including but not limited to primary and metastatic breast, ovarian, colon and pancreatic cancers. This T cell population promotes tumor growth through active suppression of anti-tumor immune responses. gd1 T cells isolated from human tumors have been shown to suppress naive and memory T cell effector functions, quell cancer cell cytotoxic activity of gd2 T cells, recruit tumor infiltration of immune-suppressive macrophages, or tumor associated macrophages, or TAMS, and MDSCs, as well as inhibit antigen presentation activity of dendritic cells, or DCs. The figure below illustrates the impact of pro-tumorigenic gd1 T cells on tumor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128905</wp:posOffset>
            </wp:positionV>
            <wp:extent cx="4774565" cy="33604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7456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Image adapted from CellPress: REVIEW: gd T Cells: Unexpected Regulators of Cancer Development and Progression. DC = dendritic cell; TAM = tumor associated macrophage; MDSC = myeloid derived suppressor cell; IL17 = interleukin 17</w:t>
      </w:r>
    </w:p>
    <w:p>
      <w:pPr>
        <w:spacing w:after="0" w:line="170"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figure below demonstrates the presence of immunosuppressive gd1 T cells in patients with pancreatic adenocarcinoma. These cells are enriched in peripheral blood and expression of immunosuppression-related molecules on the gd1 T cell surface is significantly increased, while the expression of killing function-related molecules and the activation of killing function-related signaling pathway in the gd2 T cells are significantly decreased. In human cancers, gd1 T cells infiltrate the tumor microenvironment and can be detected using IHC or flow cytometry as shown in the figure below. Frozen sections of human PDA and normal pancreas were stained using a mAb specific for TCR gd or isotype control. Representative images and quantitative data are shown. The figure demonstrates that pancreatic cancers are enriched intratumorally for gd1 T cells compared to normal pancreatic tissue.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gd</w:t>
      </w:r>
      <w:r>
        <w:rPr>
          <w:rFonts w:ascii="Arial" w:cs="Arial" w:eastAsia="Arial" w:hAnsi="Arial"/>
          <w:sz w:val="18"/>
          <w:szCs w:val="18"/>
          <w:b w:val="1"/>
          <w:bCs w:val="1"/>
          <w:color w:val="auto"/>
        </w:rPr>
        <w:t>1 T Cell Infiltration of Tumor Microenvironment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1226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Results for Immuno-Oncology Indications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Similar to LYT-200, to better assess the potential activity of the anti-d1 antibody, we employed PDOTs from primary and metastatic tumors spanning various checkpoint inhibitor insensitive solid tumor types such as pancreatic, colorectal, cholangiocarcinoma, hepatocellular cancer and neuroendocrine tumors of the GI tract in order to assess the prevalence of tumor-infiltrating gd1 T cells and the capacity of the antibodies to restore tumor-infiltrating immune cell effector activity. Positive response in the organoid model is measured by an increase of more than 20 percent in at least two out of three T cell activation markers. We observed positive response in approximately 60 percent of the PDOTs we analyzed, representing 19 patients, which we believe shows the potential of the approach to reactivate immunosuppressed T cells in the tumor microenvironment.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figure below is illustrative of data collected from 19 human tumor organoid samples from CRC patients.</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Examples of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T Cell Activation with Antibodies Against </w:t>
      </w:r>
      <w:r>
        <w:rPr>
          <w:rFonts w:ascii="Arial" w:cs="Arial" w:eastAsia="Arial" w:hAnsi="Arial"/>
          <w:sz w:val="18"/>
          <w:szCs w:val="18"/>
          <w:color w:val="auto"/>
        </w:rPr>
        <w:t>gd</w:t>
      </w:r>
      <w:r>
        <w:rPr>
          <w:rFonts w:ascii="Arial" w:cs="Arial" w:eastAsia="Arial" w:hAnsi="Arial"/>
          <w:sz w:val="18"/>
          <w:szCs w:val="18"/>
          <w:b w:val="1"/>
          <w:bCs w:val="1"/>
          <w:color w:val="auto"/>
        </w:rPr>
        <w:t>1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171450</wp:posOffset>
            </wp:positionV>
            <wp:extent cx="4972050" cy="1937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7205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In order to assess the relevance of gd T cells in the development and progression of pancreatic cancer, we assessed the survival of immunocompetent mice which have gd T cells (wild type) or mice which are knock outs for gd T cells in a KPC mouse pancreatic model. In addition, there was an additional group of wild type mice treated with an antibody, UC3-10A6, which functionally blocks immunosuppressive mouse gd T cells.</w:t>
      </w:r>
    </w:p>
    <w:p>
      <w:pPr>
        <w:spacing w:after="0" w:line="14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As shown in the figure below, when pancreatic cancers grow in the absence of gd T cells, represented by the red curve, or when mice with pancreatic cancer were treated with an antibody against immunosuppressive gd T cells, represented by the grey curve, survival was greatly increased.</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Pancreatic Cancer Mouse Survival with </w:t>
      </w:r>
      <w:r>
        <w:rPr>
          <w:rFonts w:ascii="Arial" w:cs="Arial" w:eastAsia="Arial" w:hAnsi="Arial"/>
          <w:sz w:val="18"/>
          <w:szCs w:val="18"/>
          <w:color w:val="auto"/>
        </w:rPr>
        <w:t>gd</w:t>
      </w:r>
      <w:r>
        <w:rPr>
          <w:rFonts w:ascii="Arial" w:cs="Arial" w:eastAsia="Arial" w:hAnsi="Arial"/>
          <w:sz w:val="18"/>
          <w:szCs w:val="18"/>
          <w:b w:val="1"/>
          <w:bCs w:val="1"/>
          <w:color w:val="auto"/>
        </w:rPr>
        <w:t xml:space="preserve"> T Cell Depletion and Blockage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171450</wp:posOffset>
            </wp:positionV>
            <wp:extent cx="2202815" cy="1945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0281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 order to validate and expand these findings, we compared the growth of syngeneic subcutaneous melanoma, or B16F10, and lung cancers in mouse strains with gd T cells (wild type) or without gd T cells (gd null) and evaluated the activity of anti-PD-1 and anti-CTLA4 mAbs within these groups. The results of these experiments showed increased anti-tumor activity of checkpoint blockade therapy in the absence of gd T cells.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plan to advance additional preclinical and biomarker studies for LYT-210 in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LYT-210 for Autoimmune Disease: Mucosa-infiltrating Pathogenic </w:t>
      </w:r>
      <w:r>
        <w:rPr>
          <w:rFonts w:ascii="Arial" w:cs="Arial" w:eastAsia="Arial" w:hAnsi="Arial"/>
          <w:sz w:val="18"/>
          <w:szCs w:val="18"/>
          <w:color w:val="auto"/>
        </w:rPr>
        <w:t>gd</w:t>
      </w:r>
      <w:r>
        <w:rPr>
          <w:rFonts w:ascii="Arial" w:cs="Arial" w:eastAsia="Arial" w:hAnsi="Arial"/>
          <w:sz w:val="18"/>
          <w:szCs w:val="18"/>
          <w:i w:val="1"/>
          <w:iCs w:val="1"/>
          <w:color w:val="auto"/>
        </w:rPr>
        <w:t>1 T cells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Intraepithelial lymphocytes expressing gd1 TCRs are tissue-resident T cells that play a key role in homeostasis of the intestinal epithelium. It has been recently observed that chronic inflammation can permanently reconfigure the tissue-resident T cell compartment resulting in the repopulation of the GI mucosa with pathogenic and cytotoxic gd1 T cells. Establishment of pathogenic gd1 T cells along the GI tract tilts the gut environment towards a chronic inflammatory state, contributing to the pathophysiology of GI tract and inflammatory diseases, such as refractory celiac disease. We plan to conduct preclinical studies in animal models of inflammatory diseases.</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FDA and corresponding regulatory authorities will ultimately review our clinical results and determine whether our Wholly Owned product candidates are safe and effective. No regulatory agency has made any such determination that LYT-210 is safe or effective for use by the general public for any indication.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LYT-300: Oral Allopregnanolone in Development to Treat a Range of Neurological and Neuropsychological Conditions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CNS comprises an extensive and immensely complex framework made up of a multitude of cells that support its essential function of signaling and transmitting information—predominantly carried out by neurons. With billions of neurons within the CNS, this communication across the complex network is achieved by means of neurotransmitters that enable signals to be transferred at junctions between neurons, or synapses. These signals transmitted between neurons might be inhibitory, excitatory or modulatory as it relates to the desired function to be achieved. Neurotransmitters communicate information between neurons via receptors that are exquisitely designed for transmission of information.</w:t>
      </w:r>
    </w:p>
    <w:p>
      <w:pPr>
        <w:spacing w:after="0" w:line="176"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major inhibitory neurotransmitter in the brain is gamma aminobutyric acid, or GABA, which decreases activity in the nervous system and essential for maintaining normal physiological function. One of its modes of action is via the GABA</w:t>
      </w:r>
      <w:r>
        <w:rPr>
          <w:rFonts w:ascii="Arial" w:cs="Arial" w:eastAsia="Arial" w:hAnsi="Arial"/>
          <w:sz w:val="15"/>
          <w:szCs w:val="15"/>
          <w:color w:val="auto"/>
        </w:rPr>
        <w:t>A</w:t>
      </w:r>
      <w:r>
        <w:rPr>
          <w:rFonts w:ascii="Arial" w:cs="Arial" w:eastAsia="Arial" w:hAnsi="Arial"/>
          <w:sz w:val="18"/>
          <w:szCs w:val="18"/>
          <w:color w:val="auto"/>
        </w:rPr>
        <w:t xml:space="preserve"> receptor that is found on the membrane of neurons. These receptors have also been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found on the membranes of immune cells suggesting a role for this biology across the brain-immune interface. GABA</w:t>
      </w:r>
      <w:r>
        <w:rPr>
          <w:rFonts w:ascii="Arial" w:cs="Arial" w:eastAsia="Arial" w:hAnsi="Arial"/>
          <w:sz w:val="13"/>
          <w:szCs w:val="13"/>
          <w:color w:val="auto"/>
        </w:rPr>
        <w:t>A</w:t>
      </w:r>
      <w:r>
        <w:rPr>
          <w:rFonts w:ascii="Arial" w:cs="Arial" w:eastAsia="Arial" w:hAnsi="Arial"/>
          <w:sz w:val="16"/>
          <w:szCs w:val="16"/>
          <w:color w:val="auto"/>
        </w:rPr>
        <w:t xml:space="preserve"> receptors play a critical role in biology and their modulation has been the subject of several therapeutic efforts with the goal of having an impact across a range of neurological disorders. However, concerns around safety, challenging dosing regimens, and PK limitations have hampered the development of meaningful drug candidates. Neurosteroids are a class of endogenous natural small molecules that play a crucial role in modulating neurotransmission. Importantly, as it relates to GABA</w:t>
      </w:r>
      <w:r>
        <w:rPr>
          <w:rFonts w:ascii="Arial" w:cs="Arial" w:eastAsia="Arial" w:hAnsi="Arial"/>
          <w:sz w:val="13"/>
          <w:szCs w:val="13"/>
          <w:color w:val="auto"/>
        </w:rPr>
        <w:t>A</w:t>
      </w:r>
      <w:r>
        <w:rPr>
          <w:rFonts w:ascii="Arial" w:cs="Arial" w:eastAsia="Arial" w:hAnsi="Arial"/>
          <w:sz w:val="16"/>
          <w:szCs w:val="16"/>
          <w:color w:val="auto"/>
        </w:rPr>
        <w:t xml:space="preserve"> receptors, the neurosteroid allopregnanolone—a positive allosteric modulator, through its action via the synaptic and extra-synaptic receptors—is capable of having a profound impact on GABA</w:t>
      </w:r>
      <w:r>
        <w:rPr>
          <w:rFonts w:ascii="Arial" w:cs="Arial" w:eastAsia="Arial" w:hAnsi="Arial"/>
          <w:sz w:val="13"/>
          <w:szCs w:val="13"/>
          <w:color w:val="auto"/>
        </w:rPr>
        <w:t>A</w:t>
      </w:r>
      <w:r>
        <w:rPr>
          <w:rFonts w:ascii="Arial" w:cs="Arial" w:eastAsia="Arial" w:hAnsi="Arial"/>
          <w:sz w:val="16"/>
          <w:szCs w:val="16"/>
          <w:color w:val="auto"/>
        </w:rPr>
        <w:t xml:space="preserve"> signaling. These compounds display significantly improved selectivity and capacity for modulation at these crucial sites, which might enable overcoming the challenges faced by approaches that have been developed to date.</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Allopregnanolone, and neurosteroids in general as a class of potent endogenous natural small molecules, have been recognized over the past three decades for their therapeutic potential to treat a range of neurological and neuropsychological conditions such as epileptic disorders, fragile X syndrome, fragile X tremor-associated syndrome, anxiety, depression, essential tremor, and sleep disorders, among others. The major hurdles associated with the translation of these compounds have been:</w:t>
      </w:r>
    </w:p>
    <w:p>
      <w:pPr>
        <w:spacing w:after="0" w:line="92"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to create an oral formulation due to first pass metabolism by the liver;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to administer them chronically to patients – essential for treating CNS disorders.</w:t>
      </w:r>
    </w:p>
    <w:p>
      <w:pPr>
        <w:spacing w:after="0" w:line="225"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 recent approval of Zulresso, a 60 hour IV infusion to treat post-partum depression, speaks to the challenges that limit the scope of translation of this class of compounds to treat neurological and neuropsychological disorders. An oral form of allopregnanolone and other neurosteroids would enable the development of these natural molecules for treating a range of neurological and neuropsychological conditions.</w:t>
      </w:r>
    </w:p>
    <w:p>
      <w:pPr>
        <w:spacing w:after="0" w:line="165"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color w:val="auto"/>
        </w:rPr>
        <w:t>Inspired by the natural trafficking of fats via the lymphatics at the gut-immune interface, we have developed an oral lipid-prodrug version of allopregnanolone. By trafficking via the lymphatics, we are able to overcome the first pass metabolism by the liver and achieve significant oral bioavailability of endogenous allopregnanolone in preclinical models. By utilizing our versatile small molecule lymphatic trafficking chemistry platform, we designed a multitude of lipid-prodrug molecules to control lymphatic trafficking, systemic release, and hence oral bioavailability of the active endogenous compound. Importantly, by harnessing this approach we have developed a version of allopregnanolone that can be administered chronically to patients to treat a range of neurological and neuropsychological conditions and built a robust intellectual property portfolio that enables protection of our proprietary composition of matter.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Results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created a library of lipid prodrugs of allopregnanolone and showed that orally dosing these prodrugs achieved therapeutically relevant plasma levels in small and large animal models. These studies, coupled with our other preclinical studies, support the possible utility of this approach for converting natural allopregnanolone into an orally-dosed drug as well as for numerous other potential therapeutics with intrinsic hepatic metabolism liabilities and oral absorption limitations.</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measured plasma levels of allopregnanolone after oral administration of lymphatic targeting prodrug of allopregnanolone or unmodified allopregnanolone in preclinical models of dogs and non-human primates. Male cynomolgus monkeys (figure below on the left) or dogs (figure below on the right) were fed a standardized diet prior to drug administration. The figure below shows dose-normalized blood concentration of free allopregnanolone over time in monkeys (n = 6) and dogs (n = 4) after oral administration of lipid prodrug compound in comparison with orally-administered allopregnanolone (error bars represent standard error of measurement). Apparent bioavailability of free allopregnanolone versus intravenous, or IV, was calculated to be over 30 percent in both species.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Allopregnanolone Oral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171450</wp:posOffset>
            </wp:positionV>
            <wp:extent cx="5777865" cy="19977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7786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This plasma exposure increase was confirmed to be due to lymphatic uptake. In the figure below, total allopregnanolone concentration (including free and prodrug-associated) was measured in the mesenteric lymph duct of anaesthetized rodents following intraduodenal infusion of prodrug (n = 3) or parent allopregnanolone (n = 2).</w:t>
      </w:r>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Allopregnanolone Lymphatic Uptake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171450</wp:posOffset>
            </wp:positionV>
            <wp:extent cx="1414145" cy="1551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1414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 drug-related adverse effects have been noted in preclinical studies to date at therapeutically relevant doses. Formal safety studies are being pursued as a part of the first-in-human-enabling package of studies. To support these studies, dose escalation studies have been performed on rat and dog and dose proportionality has been observed in both species.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Planned Clinical Development</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The initial objective of the LYT-300 clinical program is to characterize the safety, tolerability, and PK behavior of orally administered LYT-300 in a Phase 1 clinical trial in healthy volunteers. We expect to initiate a first-in-human clinical study by the end of 2021. These studies may include exploratory endpoints such as beta wave power electroencephalography, or ß-EEG, a marker of GABA</w:t>
      </w:r>
      <w:r>
        <w:rPr>
          <w:rFonts w:ascii="Arial" w:cs="Arial" w:eastAsia="Arial" w:hAnsi="Arial"/>
          <w:sz w:val="15"/>
          <w:szCs w:val="15"/>
          <w:color w:val="auto"/>
        </w:rPr>
        <w:t>A</w:t>
      </w:r>
      <w:r>
        <w:rPr>
          <w:rFonts w:ascii="Arial" w:cs="Arial" w:eastAsia="Arial" w:hAnsi="Arial"/>
          <w:sz w:val="18"/>
          <w:szCs w:val="18"/>
          <w:color w:val="auto"/>
        </w:rPr>
        <w:t xml:space="preserve"> target engagement. Data from these initial studies will be used to define a range of future studies and planned indications, which could include those discussed in the above section on unmet needs.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60"/>
          </w:cols>
          <w:pgMar w:left="320" w:top="459" w:right="6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Discovery Platforms: Our Platforms Leveraging the Absorption of Dietary Lipids to Traffic Therapeutics Via the Lymphatic System</w:t>
      </w:r>
    </w:p>
    <w:p>
      <w:pPr>
        <w:spacing w:after="0" w:line="133"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In addition to our internal product candidates described above, we have two platforms designed to harness the lymphatic system functions for immunology, oncology and CNS indications in discovery as discussed below.</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Given our interest in the lymphatic system, we sought out different approaches that could be taken to selectively traffic therapeutic molecules through the lymphatic system to target immune cells in the lymph nodes.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Glyph</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Lymphatic Targeting Chemistry Platform</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are developing a synthetic lymphatic-targeting chemistry platform called Glyph, which employs the body’s natural lipid absorption and transport process to orally administer drugs via the lymphatic system. Consumed nutrients and orally-administered pharmaceuticals are initially absorbed by the small intestine mucosa, distributed to the liver by the portal vein before entering systemic circulation. Importantly, many consumed dietary lipids, particularly triglycerides, enter systemic circulation by an alternate route. Triglycerides, which are composed of three fatty acid chains tethered to a 3-carbon glycerol molecule, are absorbed by small intestine mucosal enterocytes where they are incorporated into large lipid-protein complexes, or chylomicrons, and released into the submucosa. Chylomicrons are too large to enter blood vessels and are instead taken up by submucosal lymphatic vessels. Once in the lymphatic vessels, they are transported to mesenteric lymph nodes associated with the GI tract where they pass into larger lymphatic sinuses connected to the thoracic duct, then transition to systemic circulation as illustrated in the figure below. This is in contrast to conventional systemic circulation via the gut and liver as shown in the figure below on the left.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Conventional Drug Circulation versus Lymphatic Systemic Circulation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19716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2313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this platform provides the following capabilities:</w:t>
      </w:r>
    </w:p>
    <w:p>
      <w:pPr>
        <w:spacing w:after="0" w:line="131" w:lineRule="exact"/>
        <w:rPr>
          <w:sz w:val="20"/>
          <w:szCs w:val="20"/>
          <w:color w:val="auto"/>
        </w:rPr>
      </w:pPr>
    </w:p>
    <w:p>
      <w:pPr>
        <w:ind w:left="1080" w:right="20" w:hanging="424"/>
        <w:spacing w:after="0" w:line="25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Targeting the mesenteric lymph nodes</w:t>
      </w:r>
      <w:r>
        <w:rPr>
          <w:rFonts w:ascii="Arial" w:cs="Arial" w:eastAsia="Arial" w:hAnsi="Arial"/>
          <w:sz w:val="18"/>
          <w:szCs w:val="18"/>
          <w:color w:val="auto"/>
        </w:rPr>
        <w:t>. This lymphatic targeting technology has important features potentially offering meaningful</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in the creation of orally-administered medicines, especially those that need to reach immune system drug targets present in the GI tract mucosa and submucosa, such as intestine-associated immune cells, or in the mesenteric lymphatic vasculature, such as circulating immune cells, and mesenteric lymph nodes, such as lymph node stromal cells, antigen-presenting DCs and lymph node-associated immune cells.</w:t>
      </w:r>
    </w:p>
    <w:p>
      <w:pPr>
        <w:spacing w:after="0" w:line="93" w:lineRule="exact"/>
        <w:rPr>
          <w:rFonts w:ascii="Arial" w:cs="Arial" w:eastAsia="Arial" w:hAnsi="Arial"/>
          <w:sz w:val="18"/>
          <w:szCs w:val="18"/>
          <w:color w:val="auto"/>
        </w:rPr>
      </w:pPr>
    </w:p>
    <w:p>
      <w:pPr>
        <w:jc w:val="both"/>
        <w:ind w:left="1080" w:right="60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Enhancing oral bio-availability by bypassing first-pass metabolism</w:t>
      </w:r>
      <w:r>
        <w:rPr>
          <w:rFonts w:ascii="Arial" w:cs="Arial" w:eastAsia="Arial" w:hAnsi="Arial"/>
          <w:sz w:val="18"/>
          <w:szCs w:val="18"/>
          <w:color w:val="auto"/>
        </w:rPr>
        <w:t>. We believe this technology could provide a broadly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modular means to significantly enhance the bioavailability of orally-administered drugs that suffer from substantial first-pass liver metabolism or those drugs, especially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those utilized in drug combination therapies, that act as modulators (inducers and/or inhibitors) of drug-metabolizing systems in the liver.</w:t>
      </w:r>
    </w:p>
    <w:p>
      <w:pPr>
        <w:spacing w:after="0" w:line="24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successfully extended our lymphatic targeting platform to encompass more than 20 molecules as well as a range of novel linker chemistries that have demonstrated promising lymphatic targeting in preclinical studies. We expect to select product candidates from this and ongoing discovery work. In April 2019, we announced an alliance with Boehringer Ingelheim, which is initially focused on evaluating the feasibility of applying our Glyph technology platform to one of its immuno-oncology product candidates. We retain all other applications of this technology.</w:t>
      </w:r>
    </w:p>
    <w:p>
      <w:pPr>
        <w:spacing w:after="0" w:line="17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Our proprietary Glyph technology platform takes advantage of the fact that one of the triglyceride-associated fatty acids remains bound to dietary lipids during intestinal absorption, chylomicron conversion, lymphatic vessel uptake and eventual transport into the circulatory system. Using a modular set of proprietary chemical entities, small molecule pharmaceutical compounds can be docked to triglycerides where, following oral administration, the small molecule is directed into the mesenteric lymphatic system and on to systemic circulation. The point of original small molecule release from the triglyceride is governed by self-cleaving chemical structures, with different release-timing features, that tether the small molecule to the module connected to the triglyceride. The figure below is a representation of the proprietary chemistry for the design of our lymphatic targeting technology. The active pharmaceutical ingredient, or API, is meant to indicate an example of a pharmaceutical small molecule that is attached to the triglyceride, or Glyceride in the figure below, group using proprietary linker chemistry, or Linker in the figure below, to create a prodrug of the API. The prodrug also includes a proprietary self-immolative or cleaving chemistry, or SI in the figure below, that can be tuned to release the API in its intact original form.</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Schematic Representation of Our Lymphatic Targeting Prodrug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71975" cy="1508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7197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Earlier efforts by scientists to create lipid-like prodrugs used strategies that coupled the small molecule drug directly with a single fatty acid, which cannot be packaged by the GI into lymph-bound chylomicrons and therefore does not facilitate transport to the mesenteric lymph nodes. The figure below demonstrates our lymphatic targeting prodrugs, marked PTH Prodrug in the figure below, demonstrated five-fold improved lymph transport as compared to conventional single fatty acid prodrugs, marked prodrug A through C in the figure below, or unmodified mycophenolic acid, or MPA, an immune-suppressive agent widely used in solid organ transplant rejection therapy and the treatment of lupus autoimmunity.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Lymphatic Uptake of Our Prodrug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171450</wp:posOffset>
            </wp:positionV>
            <wp:extent cx="2357120" cy="1954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571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Targeting the Mesenteric Lymph Nodes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To demonstrate the mesenteric lymphatic targeting capability of the platform, prodrugs were created from MPA. Preclinical studies in rodent models conducted by our collaborator and co-inventor, which were independently repeated by us, demonstrated that lipid prodrugs of MPA were capable of achieving MPA concentrations in mesenteric lymph, mesenteric lymph nodes and in mesenteric lymph node immune cells that were ten to 100-fold higher than observed with unmodified MPA. The figures below show the level of released MPA measured in lymph nodes (left) or lymphocytes within mesenteric lymph fluid (right) at the time periods indicated following small intestine administration of MPA or MPA lipid prodrugs.</w:t>
      </w:r>
    </w:p>
    <w:p>
      <w:pPr>
        <w:spacing w:after="0" w:line="16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 the figure on the left below, dose-normalized MPA concentration in mesenteric lymph nodes following intraduodenal infusion (over two hours) of MPA or MPA prodrug to anaesthetized, mesenteric lymph-duct intact rats (n = 3 for each time point, each drug). Our modified prodrug had a ten-fold higher exposure as calculated by AUC over eight hours. The panel on the right depicts dose-normalized mass of MPA and MPA derivatives in lymphocyte pellets separated from hourly collected mesenteric lymph samples following intraduodenal infusion of formulations containing MPA or MPA prodrugs (PTH Prodrug). The measured prodrug was over 100-fold higher than free drug over the four-hour experiment.</w:t>
      </w:r>
    </w:p>
    <w:p>
      <w:pPr>
        <w:spacing w:after="0" w:line="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0"/>
          </w:cols>
          <w:pgMar w:left="320" w:top="459" w:right="5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Drug Concentration With and Without Our Prodrug</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Measured in Lymph Nodes and in Lymph Fluids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160020</wp:posOffset>
            </wp:positionV>
            <wp:extent cx="5991860" cy="22885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9186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Enhancing Oral Bio-Availability</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noted above, we believe this platform provides a broadly-applicable modular approach to enhance the bioavailability of orally-administered drugs that suffer from substantial first-pass liver metabolism. To demonstrate the utility of our lipid prodrug platform in such cases, we chose allopregnanolone as the subject of our inquiry, which has resulted in the LYT-300 program. However, this benefit can potentially be widely applied to nearly any therapeutic compatible with the synthetic approach which suffers from hepatic first-pass metabolism as has been shown by us and our collaborators with compounds such as testosterone, buprenorphine and multiple cannabinoids.</w:t>
      </w:r>
    </w:p>
    <w:p>
      <w:pPr>
        <w:spacing w:after="0" w:line="2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Orasome</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Technology Platform: Designing a Programmable and Scalable Approach for Oral Administration of Nucleic Acids and Other Biologics</w:t>
      </w:r>
    </w:p>
    <w:p>
      <w:pPr>
        <w:spacing w:after="0" w:line="6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are developing a versatile and programmable oral biotherapeutics platform, Orasome</w:t>
      </w:r>
      <w:r>
        <w:rPr>
          <w:rFonts w:ascii="Arial" w:cs="Arial" w:eastAsia="Arial" w:hAnsi="Arial"/>
          <w:sz w:val="15"/>
          <w:szCs w:val="15"/>
          <w:color w:val="auto"/>
        </w:rPr>
        <w:t>TM</w:t>
      </w:r>
      <w:r>
        <w:rPr>
          <w:rFonts w:ascii="Arial" w:cs="Arial" w:eastAsia="Arial" w:hAnsi="Arial"/>
          <w:sz w:val="18"/>
          <w:szCs w:val="18"/>
          <w:color w:val="auto"/>
        </w:rPr>
        <w:t>, to enable administration of macromolecule therapeutic payloads, including antisense oligonucleotides, short interfering RNA, mRNA, modular expression vector systems, peptides and nanoparticles that are otherwise administered exclusively by injection.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figure below depicts the administration of oral biotherapeutics: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371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Our Orasome technology platform was inspired by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trafficking of ubiquitous, naturally occurring vesicles, which are often referred to as exosomes, and we have engineered them for transport through the gastro-intestinal tract. Exosomes are a type of extracellular vesicle approximately ranging from 50nm to 150nm in diameter that are produced in the endosomal compartment and secreted from most types of eukaryotic cells. We believe human cell-derived exosomes have attractive promise as vehicles for systemic drug delivery due to their likely observed tolerability over synthetic polymer-based delivery technologies. However, the fragile nature of exosomes derived from human cells limits their usage for oral administration and the type of post-isolation manipulations that can be applied in order to optimize such vesicles for exogenous drug cargo loading and storage.</w:t>
      </w:r>
    </w:p>
    <w:p>
      <w:pPr>
        <w:spacing w:after="0" w:line="16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Orasome technology platform utilizes multiple vesicle components, including those isolated from milk. We have engineered these vesicles, building on the naturally evolved architecture in mammals, to remain stable following oral consumption and transit through the upper GI tract. Orasome vesicles are readily amenable to manufacturing at scale and relatively low cost based on the easily accessible and engineerable components.</w:t>
      </w:r>
    </w:p>
    <w:p>
      <w:pPr>
        <w:spacing w:after="0" w:line="14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 xml:space="preserve">Our proprietary Orasome technology platform has the potential to transform the treatment paradigm for diseases, such as rheumatoid arthritis, other autoimmune diseases, diabetes and cancer for which the standard of care often requires intravenous infusion or subcutaneous injection of monoclonal antibodies (e.g., anti-programmed death-1, anti-tumor necrosis factor) or therapeutic proteins/peptides </w:t>
      </w:r>
      <w:r>
        <w:rPr>
          <w:rFonts w:ascii="Arial" w:cs="Arial" w:eastAsia="Arial" w:hAnsi="Arial"/>
          <w:sz w:val="17"/>
          <w:szCs w:val="17"/>
          <w:i w:val="1"/>
          <w:iCs w:val="1"/>
          <w:color w:val="auto"/>
        </w:rPr>
        <w:t>(e.g.</w:t>
      </w:r>
      <w:r>
        <w:rPr>
          <w:rFonts w:ascii="Arial" w:cs="Arial" w:eastAsia="Arial" w:hAnsi="Arial"/>
          <w:sz w:val="17"/>
          <w:szCs w:val="17"/>
          <w:color w:val="auto"/>
        </w:rPr>
        <w:t>, glucagon-like peptide-1, insulin, granulocyte colony-stimulating factor GCSF, Factor VIII and IX, cytokines and erythropoietin, among others.</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Orasome vesicles are currently constructed to transport macromolecular medicines to selected mucosal cell types of the intestinal tract where the therapeutics act either directly in the GI tract, transit through the mucosa to the underlying lymphatic vascular network or, in the case of cargos that yield mRNAs, enable the body to produce its own therapeutic proteins and peptides, such as antibodies within mucosal cells that are secreted into the mucosal lymphatic vascular network for subsequent systemic distribution. Using our Orasome technology platform, we believe it may be possible for a patient to take an oral drug product that will permit their own GI tract cells to make virtually any type of therapeutic protein. We believe this approach also has the potential to provide a more convenient and significantly less expensive means to deliver biological medicines.</w:t>
      </w:r>
    </w:p>
    <w:p>
      <w:pPr>
        <w:spacing w:after="0" w:line="17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Within the context of the current COVID-19 pandemic, we believe our Orasome technology platform has the potential to support oral administration of anti-SARS-CoV-2 monoclonal antibodies or antibody combinations and vaccines to supply passive immune therapies for infected individuals and passive immune protection for health care and first responder professionals. Thus, whether combating emerging epidemic/pandemic pathogens or other diseases where monoclonal antibody therapeutics or vaccines offer significant clinical benefit, we believe our Orasome technology platform has the potential to transform the treatment of a range of clinical indications, while also lowering costs and simplifying administration of such biotherapeutics.</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expect preclinical proof-of-concept data in 2021 and anticipate additional preclinical results from a non-human primate proof-of-concept study in 2021. The proof-of-concept studies are designed to document the presence of therapeutic serum levels of biotherapeutics (peptides and proteins, such as antibodies) produced by the body following the oral administration designer payloads.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This work could lay the foundation for IND-enabling clinical studies for one or more additional product candidates to be included in our Wholly Owned Pipeline. We intend to leverage our proprietary technology platforms, as well as our extensive network with major pharmaceutical companies and world-leading scientists in immunology and lymphatics, to generate additional novel product candidates.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Founded Entities’ Product Candidates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table below summarizes the programs of our Founded Entities. We established the underlying programs and platforms that have resulted in the product candidates being developed by our Founded Entities and advanced them through key validation points. Each of their product candidates targets indications related to one or more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BIG systems, and any value we realize from these product candidates will be through the potential growth and realization of equity and royalty stakes highlighted in the table below.</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hold majority voting control of our Controlled Founded Entities and continue to play a role in the development of their product candidates, through representation on their board of directors, with respect to Follica, Vedanta, Alivio and Sonde. Our board designees represent a majority of the members of the board of directors of Follica, Vedanta and Alivio and a minority of the members of the board of directors of Sonde. With respect to our Non-Controlled Founded Entities, we do not hold majority equity ownership and are not responsible for development or commercialization of their product candidates and FDA-cleared products. Our Non-Controlled Founded Entities have independent management teams, and we do not control the day-to-day development of their respective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139065</wp:posOffset>
            </wp:positionV>
            <wp:extent cx="4766310" cy="5057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631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40" w:hanging="424"/>
        <w:spacing w:after="0" w:line="263"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Relevant ownership interests for Founded Entities were calculated on a diluted basis (as opposed to a voting basis) as of June 30, 2020, including outstanding shares, options and warrants, but excluding unallocated shares authorized to be issued pursuant to equity incentive plans. Ownership of Vor is based on the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320" w:top="459" w:right="5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258" w:lineRule="auto"/>
        <w:rPr>
          <w:sz w:val="20"/>
          <w:szCs w:val="20"/>
          <w:color w:val="auto"/>
        </w:rPr>
      </w:pPr>
      <w:r>
        <w:rPr>
          <w:rFonts w:ascii="Arial" w:cs="Arial" w:eastAsia="Arial" w:hAnsi="Arial"/>
          <w:sz w:val="18"/>
          <w:szCs w:val="18"/>
          <w:color w:val="auto"/>
        </w:rPr>
        <w:t>assumption that all future tranches of the most recent financing round are funded. Karuna ownership is calculated on an outstanding voting share basis as of August 26, 2020.</w:t>
      </w:r>
    </w:p>
    <w:p>
      <w:pPr>
        <w:spacing w:after="0" w:line="1"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PureTech Health has a right to royalty payments as a percentage of net sales. For a description of these agreements, see “Business—Overview.”</w:t>
      </w:r>
    </w:p>
    <w:p>
      <w:pPr>
        <w:spacing w:after="0" w:line="23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All of these underlying programs and platforms across our Founded Entities were initially identified or discovered and then advanced by our team through key validation points before being further developed by each respective Founded Entity.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Founded Entities are described below.</w:t>
      </w:r>
    </w:p>
    <w:p>
      <w:pPr>
        <w:spacing w:after="0" w:line="329" w:lineRule="exact"/>
        <w:rPr>
          <w:sz w:val="20"/>
          <w:szCs w:val="20"/>
          <w:color w:val="auto"/>
        </w:rPr>
      </w:pPr>
    </w:p>
    <w:p>
      <w:pPr>
        <w:ind w:left="120" w:right="1140"/>
        <w:spacing w:after="0" w:line="378" w:lineRule="auto"/>
        <w:rPr>
          <w:sz w:val="20"/>
          <w:szCs w:val="20"/>
          <w:color w:val="auto"/>
        </w:rPr>
      </w:pPr>
      <w:r>
        <w:rPr>
          <w:rFonts w:ascii="Arial" w:cs="Arial" w:eastAsia="Arial" w:hAnsi="Arial"/>
          <w:sz w:val="18"/>
          <w:szCs w:val="18"/>
          <w:b w:val="1"/>
          <w:bCs w:val="1"/>
          <w:color w:val="auto"/>
        </w:rPr>
        <w:t xml:space="preserve">Founded Entities in which PureTech has a Controlling Interest or the Right to Receive Royalties, in Order of Development Stage </w:t>
      </w:r>
      <w:r>
        <w:rPr>
          <w:rFonts w:ascii="Arial" w:cs="Arial" w:eastAsia="Arial" w:hAnsi="Arial"/>
          <w:sz w:val="18"/>
          <w:szCs w:val="18"/>
          <w:b w:val="1"/>
          <w:bCs w:val="1"/>
          <w:i w:val="1"/>
          <w:iCs w:val="1"/>
          <w:color w:val="auto"/>
        </w:rPr>
        <w:t>Gelesis</w:t>
      </w:r>
    </w:p>
    <w:p>
      <w:pPr>
        <w:ind w:left="120"/>
        <w:spacing w:after="0" w:line="286" w:lineRule="auto"/>
        <w:rPr>
          <w:sz w:val="20"/>
          <w:szCs w:val="20"/>
          <w:color w:val="auto"/>
        </w:rPr>
      </w:pPr>
      <w:r>
        <w:rPr>
          <w:rFonts w:ascii="Arial" w:cs="Arial" w:eastAsia="Arial" w:hAnsi="Arial"/>
          <w:sz w:val="16"/>
          <w:szCs w:val="16"/>
          <w:color w:val="auto"/>
        </w:rPr>
        <w:t>Gelesis is developing oral therapeutics based on a novel, superabsorbent hydrogel technology platform to treat obesity and other chronic diseases related to the GI pathway. Gelesis’ proprietary approach is designed to act mechanically in the GI pathway to potentially alter the course of chronic diseases. In April 2019, Gelesis received clearance from the FDA for its first product, Plenity</w:t>
      </w:r>
      <w:r>
        <w:rPr>
          <w:rFonts w:ascii="Arial" w:cs="Arial" w:eastAsia="Arial" w:hAnsi="Arial"/>
          <w:sz w:val="13"/>
          <w:szCs w:val="13"/>
          <w:color w:val="auto"/>
        </w:rPr>
        <w:t>®</w:t>
      </w:r>
      <w:r>
        <w:rPr>
          <w:rFonts w:ascii="Arial" w:cs="Arial" w:eastAsia="Arial" w:hAnsi="Arial"/>
          <w:sz w:val="16"/>
          <w:szCs w:val="16"/>
          <w:color w:val="auto"/>
        </w:rPr>
        <w:t xml:space="preserve"> (Gelesis100), an aid for weight management in adults with a body mass index, or BMI, of 25-40 kg/m</w:t>
      </w:r>
      <w:r>
        <w:rPr>
          <w:rFonts w:ascii="Arial" w:cs="Arial" w:eastAsia="Arial" w:hAnsi="Arial"/>
          <w:sz w:val="13"/>
          <w:szCs w:val="13"/>
          <w:color w:val="auto"/>
        </w:rPr>
        <w:t>2</w:t>
      </w:r>
      <w:r>
        <w:rPr>
          <w:rFonts w:ascii="Arial" w:cs="Arial" w:eastAsia="Arial" w:hAnsi="Arial"/>
          <w:sz w:val="16"/>
          <w:szCs w:val="16"/>
          <w:color w:val="auto"/>
        </w:rPr>
        <w:t>, when used in conjunction with diet and exercise. In June 2020, Gelesis received a CE Mark for Plenity as a class</w:t>
      </w:r>
    </w:p>
    <w:p>
      <w:pPr>
        <w:ind w:left="120" w:right="20" w:hanging="4"/>
        <w:spacing w:after="0" w:line="256" w:lineRule="auto"/>
        <w:tabs>
          <w:tab w:leader="none" w:pos="3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medical device indicated for weight loss in overweight and obese adults with a Body Mass Index, or BMI, of 25-40 kg/m</w:t>
      </w:r>
      <w:r>
        <w:rPr>
          <w:rFonts w:ascii="Arial" w:cs="Arial" w:eastAsia="Arial" w:hAnsi="Arial"/>
          <w:sz w:val="15"/>
          <w:szCs w:val="15"/>
          <w:color w:val="auto"/>
        </w:rPr>
        <w:t>2</w:t>
      </w:r>
      <w:r>
        <w:rPr>
          <w:rFonts w:ascii="Arial" w:cs="Arial" w:eastAsia="Arial" w:hAnsi="Arial"/>
          <w:sz w:val="18"/>
          <w:szCs w:val="18"/>
          <w:color w:val="auto"/>
        </w:rPr>
        <w:t>, when used in conjunction with diet and exercise, which allows Gelesis to market Plenity throughout the European Economic Area and in other countries that recognize the CE Mark.</w:t>
      </w:r>
    </w:p>
    <w:p>
      <w:pPr>
        <w:spacing w:after="0" w:line="18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Given challenges associated with pharmacological and invasive surgical treatments for obesity, Gelesis designed an approach with an oral, non-invasive, non-systemic mechanism of action and a highly favorable safety and efficacy profile. Gelesis’ product candidates work in the GI tract and pass through the body without being absorbed. They are synthesized from two naturally derived building blocks (citric acid and cellulose) that form a novel, patent-protected three-dimensional structural composition and occupies volume in the stomach and small intestine to promote satiety and fullness. Because Gelesis’ technology acts mechanically and is not systemically absorbed, the product candidates are treated as devices for regulatory approval purposes.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Gelesis was incorporated in February 2006. The following chart summarizes Gelesis’ product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185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560" w:hanging="424"/>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Important Safety Information: Plenity is contraindicated in patients who are pregnant or are allergic to cellulose, citric acid, sodium stearyl fumarate, gelatin, or titanium dioxide. Plenity may alter the absorption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68" w:lineRule="auto"/>
        <w:rPr>
          <w:sz w:val="20"/>
          <w:szCs w:val="20"/>
          <w:color w:val="auto"/>
        </w:rPr>
      </w:pPr>
      <w:r>
        <w:rPr>
          <w:rFonts w:ascii="Arial" w:cs="Arial" w:eastAsia="Arial" w:hAnsi="Arial"/>
          <w:sz w:val="17"/>
          <w:szCs w:val="17"/>
          <w:color w:val="auto"/>
        </w:rPr>
        <w:t>of medications. Read Sections 6 and 8.3 of the Instructions for Use carefully. Avoid use in patients with the following conditions: esophageal anatomic anomalies, including webs, diverticuli, and rings; suspected strictures (such as patients with Crohn’s disease); or complications from prior gastrointestinal (GI) surgery that could affect GI transit and motility. Use with caution in patients with active GI conditions such as gastro-esophageal reflux disease (GERD), ulcers or heartburn. The overall incidence of adverse events (AEs) in the Plenity group was no different than the placebo group. The most common side effects were diarrhea, distended abdomen, infrequent bowel movements, and flatulence. For the safe and proper use of Plenity, refer to U.S. Instructions for Use or the EU Instructions for Use</w:t>
      </w:r>
    </w:p>
    <w:p>
      <w:pPr>
        <w:spacing w:after="0" w:line="1"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Products are investigational and have not been cleared by the FDA for use in the United States.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Contingent of FDA review of the research plan.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We were interested in creating an effective and safe therapy for obesity given the tremendous need, significant health implications and failure of prior approaches to effectively engage and serve the breadth of the population affected. We consulted with leading obesity experts to brainstorm on the characteristics of an ideal approach, which we decided was an orally-administered mechanically acting device, and we then conducted a worldwide search for compelling technologies meeting these criteria. We identified and in-licensed the core intellectual property from one of our academic collaborators in October 2008, and we subsequently co-invented additional intellectual property around a novel class of biocompatible, superabsorbent hydrogels. One of the core PureTech team members involved in the initial identification and development process subsequently assumed the role of chief executive officer of Gelesis, and successfully attracted financing and built a strong development and commercial leadership team.</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Gelesis advisory team is comprised of leading experts in obesity and its related comorbidities, clinical research and development and advanced biomaterials, including Caroline Apovian, M.D., professor of Medicine and Pediatrics at Boston University School of Medicine; Louis J. Aronne, M.D., FACP, director of the Comprehensive Weight Control Program at Weill Cornell Medicine; Arne Astrup, M.D., head of department of Nutrition, Exercise and Sports at University of Copenhagen; Ken Fujioka, M.D., director of the Nutrition and Metabolic Research Center and the Center for Weight Management at the Scripps Clinic; James Hill, Ph.D., chairman, Department of Nutrition Sciences, director, Nutrition Obesity Research Center, University of Alabama; professor of Medicine and Pediatrics, University of Colorado; Lee M. Kaplan, M.D., Ph.D., Director of the Obesity, Metabolism and Nutrition Institute at Massachusetts General Hospital; Bennett Shapiro, M.D., co-founder and non-executive director at PureTech and former Executive Vice President of Research for Merck; and Angelo Tremblay, Ph.D., professor at Laval University.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Excess weight is growing rapidly in prevalence worldwide, with approximately 70 percent of American adults struggling with overweight and obesity. Globally there are more than 1.9 billion adults 18 years of age or older who are overweight and 600 million who have obesity. Additionally, approximately 13.7 million American children and adolescents are estimated to have obesity. Obesity-related conditions, such as heart disease, stroke, type 2 diabetes, NASH/NAFLD and certain types of cancer, are some of the leading causes of preventable death. Functional constipation and NASH/NAFLD affect approximately 35 million and 80 to 100 million individuals, respectively, in the United States. Type 2 diabetes and prediabetes affect approximately 30 million and 84 million individuals, respectively, in the United States.</w:t>
      </w:r>
    </w:p>
    <w:p>
      <w:pPr>
        <w:spacing w:after="0" w:line="17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Current treatments for patients with overweight and obesity begin with lifestyle modification, such as diet and exercise. When healthy eating and physical activity fail to produce the desired results, physicians may consider pharmaceutical therapies, device implantation or surgical treatments, such as gastric bypass and gastric banding (for patients with more severe obesity). These approaches are associated with safety concerns, lifestyle impact, complexity of use, high cost and compliance issues that have limited their adoption. While indicated for adults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with a BMI of 25-40 kg/m2 when used in conjunction with diet and exercise, an important market segment for Plenity</w:t>
      </w:r>
      <w:r>
        <w:rPr>
          <w:rFonts w:ascii="Arial" w:cs="Arial" w:eastAsia="Arial" w:hAnsi="Arial"/>
          <w:sz w:val="15"/>
          <w:szCs w:val="15"/>
          <w:color w:val="auto"/>
        </w:rPr>
        <w:t>®</w:t>
      </w:r>
      <w:r>
        <w:rPr>
          <w:rFonts w:ascii="Arial" w:cs="Arial" w:eastAsia="Arial" w:hAnsi="Arial"/>
          <w:sz w:val="18"/>
          <w:szCs w:val="18"/>
          <w:color w:val="auto"/>
        </w:rPr>
        <w:t xml:space="preserve"> is adults with BMI &lt;35 kg/m2 (approximately 130 million adults in the US). The consumer expectations of weight loss within this group and the desire for a strong safety profile provide a particularly differentiated opportunity for Plenity</w:t>
      </w:r>
      <w:r>
        <w:rPr>
          <w:rFonts w:ascii="Arial" w:cs="Arial" w:eastAsia="Arial" w:hAnsi="Arial"/>
          <w:sz w:val="15"/>
          <w:szCs w:val="15"/>
          <w:color w:val="auto"/>
        </w:rPr>
        <w:t>®</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Gelesis received clearance from the FDA to market and sell its lead product Plenity as an aid for weight management in adults with a BMI of</w:t>
      </w:r>
    </w:p>
    <w:p>
      <w:pPr>
        <w:spacing w:after="0" w:line="34"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25-40 kg/m</w:t>
      </w:r>
      <w:r>
        <w:rPr>
          <w:rFonts w:ascii="Arial" w:cs="Arial" w:eastAsia="Arial" w:hAnsi="Arial"/>
          <w:sz w:val="15"/>
          <w:szCs w:val="15"/>
          <w:color w:val="auto"/>
        </w:rPr>
        <w:t>2</w:t>
      </w:r>
      <w:r>
        <w:rPr>
          <w:rFonts w:ascii="Arial" w:cs="Arial" w:eastAsia="Arial" w:hAnsi="Arial"/>
          <w:sz w:val="18"/>
          <w:szCs w:val="18"/>
          <w:color w:val="auto"/>
        </w:rPr>
        <w:t>, when used in conjunction with diet and exercise. Plenity is FDA-cleared for the largest number of adults struggling with overweight and obesity of any prescription weight-management aid and the only prescription weight management product to be cleared for use by overweight adults with a BMI as low as 25 kg/m</w:t>
      </w:r>
      <w:r>
        <w:rPr>
          <w:rFonts w:ascii="Arial" w:cs="Arial" w:eastAsia="Arial" w:hAnsi="Arial"/>
          <w:sz w:val="15"/>
          <w:szCs w:val="15"/>
          <w:color w:val="auto"/>
        </w:rPr>
        <w:t>2</w:t>
      </w:r>
      <w:r>
        <w:rPr>
          <w:rFonts w:ascii="Arial" w:cs="Arial" w:eastAsia="Arial" w:hAnsi="Arial"/>
          <w:sz w:val="18"/>
          <w:szCs w:val="18"/>
          <w:color w:val="auto"/>
        </w:rPr>
        <w:t>, with or without comorbidities. Nearly 150 million adults with excess weight in the United States fall within the BMI range included in the Plenity label.</w:t>
      </w:r>
    </w:p>
    <w:p>
      <w:pPr>
        <w:spacing w:after="0" w:line="19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Gelesis also received a CE Mark for Plenity as a class III medical device indicated for weight loss in overweight and obese adults with a BMI of 25-40 kg/m</w:t>
      </w:r>
      <w:r>
        <w:rPr>
          <w:rFonts w:ascii="Arial" w:cs="Arial" w:eastAsia="Arial" w:hAnsi="Arial"/>
          <w:sz w:val="15"/>
          <w:szCs w:val="15"/>
          <w:color w:val="auto"/>
        </w:rPr>
        <w:t>2</w:t>
      </w:r>
      <w:r>
        <w:rPr>
          <w:rFonts w:ascii="Arial" w:cs="Arial" w:eastAsia="Arial" w:hAnsi="Arial"/>
          <w:sz w:val="18"/>
          <w:szCs w:val="18"/>
          <w:color w:val="auto"/>
        </w:rPr>
        <w:t>, when used in conjunction with diet and exercise. Gelesis will now be able to market Plenity throughout the European Economic Area and in other countries that recognize the CE Mark. Gelesis plans to bring Plenity to the U.S. first, where it has been available to a limited extent since the second half of 2019 through an early experience program and since 2020 via a limited launch while the company ramps up its commercial operations and inventory for a full launch in 2021. Gelesis also plans to seek FDA input on the requirements for expanding the Plenity label for treating adolescents.</w:t>
      </w:r>
    </w:p>
    <w:p>
      <w:pPr>
        <w:spacing w:after="0" w:line="19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Gelesis has a partnership with Ro, a leading U.S. telehealth provider, to support the U.S. commercialization of Plenity. Gelesis also has a partnership with China Medical Systems Holdings Ltd., or CMS, for the commercialization of Plenty in China. Through the terms of the deal, CMS will provide $35 million upfront in a combination of licensing fees and equity investment, with the potential for an additional $388 million in future milestone payments as well as royalties.</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Plenity was evaluated in a multicenter, double-blind, placebo-controlled pivotal study designed to assess change in body weight in 436 adults with overweight or obesity (BMI ³ 27 and ³ 40 kg/m</w:t>
      </w:r>
      <w:r>
        <w:rPr>
          <w:rFonts w:ascii="Arial" w:cs="Arial" w:eastAsia="Arial" w:hAnsi="Arial"/>
          <w:sz w:val="13"/>
          <w:szCs w:val="13"/>
          <w:color w:val="auto"/>
        </w:rPr>
        <w:t>2</w:t>
      </w:r>
      <w:r>
        <w:rPr>
          <w:rFonts w:ascii="Arial" w:cs="Arial" w:eastAsia="Arial" w:hAnsi="Arial"/>
          <w:sz w:val="16"/>
          <w:szCs w:val="16"/>
          <w:color w:val="auto"/>
        </w:rPr>
        <w:t>) after six months of treatment. The study had two predefined co-primary endpoints: at least 35 percent of patients taking Plenity achieving more than five percent weight loss (categorical endpoint) and placebo-adjusted weight loss with a super-superiority margin of three percent. In addition, a prespecified analysis of simple superiority was also performed. The study met and exceeded the predefined categorical endpoint, with 59 percent of adults in the treatment group achieving weight loss of five percent or greater and losing on average 10 percent of their weight (22 pounds) and 3.5 inches from their waists within six months. The study did not meet the three percent super-superiority endpoint but demonstrated superiority of the Plenity treatment over the placebo group (–6.4 percent vs. –4.4 percent, P=0.0007). Plenity-treated individuals had twice the odds of achieving at least five percent weight loss as compared to placebo (adjusted odds ratio: 2.0, P=0.0008).</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26 percent of the adults who completed the treatment with Plenity were “super-responders,” defined as achieving at least ten percent weight loss. These super-responders achieved an average of about 14 percent weight loss or approximately 30 pounds.</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overall incidence of AEs in the Plenity treatment group was no different than placebo. The most common treatment related adverse events, or TRAEs, were GI disorders (158 TRAEs in 84 (38 percent) subjects in the Plenity arm, compared to 105 events in 58 (28 percent) subjects receiving placebo), infections and infestations (two events in two (one percent) subjects with Plenity and one events in one (one percent) subjects with placebo), and musculoskeletal and connective tissue disorders (three events in two (one percent) subjects with Plenity and 0 in 0 (0 percent) subjects with placebo). There were no SAEs in the Plenity treatment group, whereas there was one SAE in the placebo treatment group. For the safe and proper use of Plenity, refer to the Instructions for Use.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In the second half of 2020, Gelesis expects to initiate a Phase 2 study of GS300 in NASH/NAFLD and a Phase 3 study of GS500 in functional constipation. A pilot study of 40 individuals showed that a prototype of GS500 demonstrated a significant reduction in colonic transit time, or CTT, in patients with functional constipation by approximately 16 hours (approximately 31 percent) compared to baseline (P=0.02 compared to placebo).</w:t>
      </w:r>
    </w:p>
    <w:p>
      <w:pPr>
        <w:spacing w:after="0" w:line="14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2021, Gelesis expects topline results from a Phase 2 study of GS200 in weight management and glycemic control in adults with type 2 diabetes and prediabetes. Data from a pilot study of GS200 demonstrated that administration of GS200 ten minutes prior to a meal increased fullness throughout the entire day (P=0.012).</w:t>
      </w:r>
    </w:p>
    <w:p>
      <w:pPr>
        <w:spacing w:after="0" w:line="1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Gelesis’ completed and ongoing studies have been approved by the applicable reviewing IRBs as nonsignificant risk device studies. Gelesis also has ongoing discovery efforts to expand its pipeline.</w:t>
      </w:r>
    </w:p>
    <w:p>
      <w:pPr>
        <w:spacing w:after="0" w:line="170"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Our board designees represent a minority of the members of the board of directors of Gelesis, and we do not control the clinical or regulatory development or commercialization of Gelesis’ products and product candidates. We have an interest in Gelesis’ product candidates through our equity investment as well as our right to royalty payments as a percentage of net sales pursuant to a license agreement between us and Gelesis.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Karuna</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Karuna is developing novel therapies with the potential to transform the lives of people with disabling and potentially fatal neuropsychiatric disorders, including schizophrenia and dementia-related psychosis.</w:t>
      </w:r>
    </w:p>
    <w:p>
      <w:pPr>
        <w:spacing w:after="0" w:line="17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KarXT combines xanomeline, a muscarinic receptor agonist that has demonstrated decreases in multiple psychotic symptoms and improvements in cognitive symptoms in placebo-controlled human trials in schizophrenia and AD, and trospium chloride as further described below, an FDA approved and well-established muscarinic receptor antagonist that has been shown not to measurably cross the blood-brain barrier. KarXT is designed to preferentially stimulate M1/M4 muscarinic receptors in the brain without stimulating muscarinic receptors in peripheral tissues in order to achieve meaningful therapeutic benefit in patients with psychotic and cognitive disorders.</w:t>
      </w:r>
    </w:p>
    <w:p>
      <w:pPr>
        <w:spacing w:after="0" w:line="1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Xanomeline was previously studied by Eli Lilly and Company, or Eli Lilly, in randomized, double-blind, placebo-controlled trials in schizophrenia with acute psychosis and AD, demonstrating dose-dependent decreases in multiple psychotic symptoms and related behaviors, including hallucinations, delusions and agitation, as compared to patients on placebo in the treatment of psychosis and improvements in symptoms as measured by both the Alzheimer’s Disease Assessment Scale-Cognitive Subscale and the Clinician Interview-Based Impression of Change plus caregiver interview standards. To our knowledge, xanomeline is the only muscarinic agonist that has demonstrated potential therapeutic benefit in humans in either schizophrenia or AD. Like all muscarinic receptor agonists studied to date, however, xanomeline’s tolerability has been limited by side effects arising from muscarinic receptor stimulation in peripheral tissues, leading to nausea, vomiting, diarrhea and increased salivation and sweating, collectively referred to as cholinergic AEs, or ChAEs, which led Eli Lilly to discontinue development of xanomeline. By pairing xanomeline with trospium chloride, Karuna believes KarXT could potentially maintain efficacy of xanomeline while ameliorating its ChAEs. In November 2019, Karuna announced topline results from EMERGENT-1, its Phase 2 clinical trial of KarXT for the treatment of acute psychosis in patients with schizophrenia, in which KarXT met the trial’s primary endpoint with a statistically significant (p&lt;0.0001) and clinically meaningful 11.6 point mean reduction in total PANSS scores over placebo at week five (-17.4 KarXT vs. -5.9 placebo), with similar discontinuation rates between KarXT (20 percent) and placebo (21 percent). The study enrolled 182 schizophrenia patients with acute psychosis, 90 of whom received KarXT. The number of discontinuations due to treatment emergent AEs were equal in the KarXT and placebo arms (n=2 in each group). One SAE was observed in the KarXT treatment group, in which the patient discontinued treatment and subsequently sought hospital care for worsening psychosis, meeting the regulatory definition of an SAE. In Karuna’s Phase 1 tolerability POC study, KarXT was better tolerated than xanomeline plus placebo and no SAEs were reported. In June 2020, Karuna announced next steps in the EMERGENT program, the clinical program evaluating KarXT for the treatment of adults with schizophrenia, following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completion of a successful End-of-Phase 2 meeting with the FDA. The outcome of the meeting supports the progression of KarXT into Phase 3 development.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Karuna was incorporated in July 2009. The following chart summarizes Karuna’s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2339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6560" w:hanging="4"/>
        <w:spacing w:after="0" w:line="258" w:lineRule="auto"/>
        <w:tabs>
          <w:tab w:leader="none" w:pos="5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Trial to evaluate KarXT when added to standard of care ** In collaboration with PsychoGenics</w:t>
      </w:r>
    </w:p>
    <w:p>
      <w:pPr>
        <w:spacing w:after="0" w:line="1" w:lineRule="exact"/>
        <w:rPr>
          <w:rFonts w:ascii="Arial" w:cs="Arial" w:eastAsia="Arial" w:hAnsi="Arial"/>
          <w:sz w:val="18"/>
          <w:szCs w:val="18"/>
          <w:color w:val="auto"/>
        </w:rPr>
      </w:pPr>
    </w:p>
    <w:p>
      <w:pPr>
        <w:ind w:left="120" w:right="740"/>
        <w:spacing w:after="0" w:line="250" w:lineRule="auto"/>
        <w:rPr>
          <w:rFonts w:ascii="Arial" w:cs="Arial" w:eastAsia="Arial" w:hAnsi="Arial"/>
          <w:sz w:val="18"/>
          <w:szCs w:val="18"/>
          <w:color w:val="auto"/>
        </w:rPr>
      </w:pPr>
      <w:r>
        <w:rPr>
          <w:rFonts w:ascii="Arial" w:cs="Arial" w:eastAsia="Arial" w:hAnsi="Arial"/>
          <w:sz w:val="18"/>
          <w:szCs w:val="18"/>
          <w:color w:val="auto"/>
        </w:rPr>
        <w:t>Note – pipeline supplied by Karuna Therapeutics. Shading of bars does not conform to key used for other Founded Entity pipelines within this document.</w:t>
      </w:r>
    </w:p>
    <w:p>
      <w:pPr>
        <w:ind w:left="120"/>
        <w:spacing w:after="0"/>
        <w:rPr>
          <w:rFonts w:ascii="Arial" w:cs="Arial" w:eastAsia="Arial" w:hAnsi="Arial"/>
          <w:sz w:val="18"/>
          <w:szCs w:val="18"/>
          <w:color w:val="auto"/>
        </w:rPr>
      </w:pPr>
      <w:r>
        <w:rPr>
          <w:rFonts w:ascii="Arial" w:cs="Arial" w:eastAsia="Arial" w:hAnsi="Arial"/>
          <w:sz w:val="18"/>
          <w:szCs w:val="18"/>
          <w:i w:val="1"/>
          <w:iCs w:val="1"/>
          <w:color w:val="auto"/>
        </w:rPr>
        <w:t>Program Discovery Process by the PureTech Team</w:t>
      </w:r>
    </w:p>
    <w:p>
      <w:pPr>
        <w:spacing w:after="0" w:line="10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were interested in developing a new approach to treat schizophrenia that was effective but did not have the debilitating side effects of the current class of antipsychotics, realizing that any potential new approaches could have wider applicability. We engaged with a group of leading schizophrenia experts who were most excited about muscarinic agonists, pointing to the data generated by Eli Lilly with xanomeline, which was not advanced at that time due to tolerability issues. We invented and broadly filed patents to cover the concept of combining a muscarinic receptor agonist with a peripherally acting antagonist, and we in-licensed xanomeline from Eli Lilly in May 2012. The core team member who was running this program at PureTech became Karuna’s chief operating officer and we built a team of leading drug developers and neuroscientists around him, including Steven Paul, M.D., an expert in CNS drug discovery and development. Karuna completed an IPO on the Nasdaq Global Market in July 2019.</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Dr. Paul was formerly executive vice president for science and technology and president of the Lilly Research Laboratories at Eli Lilly and was involved in the original xanomeline work at Eli Lilly. Dr. Paul was also a co-founder of Sage Therapeutics and Voyager Therapeutics, where he also served as chief executive officer, and the former scientific director of the National Institute of Mental Health.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Psychosis is a prominent and debilitating symptom that occurs in many neuropsychiatric disorders, including schizophrenia, dementia, bipolar disorder, major depressive disorder and inflammatory neurological diseases, such as multiple sclerosis, but there are no existing medicines that sufficiently and safely treat psychosis and cognition impairments. There are approximately 2.7 million adults living with schizophrenia and about 8.4 million people living with dementia in the United States, of which approximately 40 percent are diagnosed with the disease, with around 1.2 million experiencing symptoms of psychosis. Antipsychotics are the mainstay therapy; however, drugs currently in use all rely on the same fundamental mechanism of action and, despite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widespread use, the prognosis for patients remains poor. People with schizophrenia have a ten to fifteen year reduction in life expectancy compared to the general population, struggle to maintain employment or live independently and are often unable to maintain meaningful interpersonal relationships.</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Current antipsychotics only address psychosis, also known as positive symptoms, such as hallucinations and delusions, but despite treatment patients often experience residual positive symptoms throughout their lives. There are no approved treatments for the negative symptoms, such as apathy, reduced social drive and loss of motivation, or cognitive symptoms, such as changes in working memory and attention, all of which currently lack any approved treatments. Current antipsychotics have modest efficacy in many patients and significant side effects. At least half of patients fail to adequately respond to current antipsychotic drugs. Additionally, current treatments are often associated with severe side effects, including sedation, extrapyramidal side effects such as motor rigidity, tremors and slurred speech and significant weight gain resulting in the complications of diabetes, hyperlipidemia, hypertension and cardiovascular disease. The clinical benefit of current antipsychotics is further limited by poor adherence.</w:t>
      </w:r>
    </w:p>
    <w:p>
      <w:pPr>
        <w:spacing w:after="0" w:line="166"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There is an unmet need for new treatments in schizophrenia that could address the positive, negative and cognitive symptoms and are free of the problematic safety issues with existing medicines. There are currently no approved treatments for dementia-related psychosis.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June 2020, Karuna announced next steps in the EMERGENT program, the clinical program evaluating KarXT for the treatment of adults with schizophrenia, following the completion of a successful End-of-Phase 2 meeting with the FDA. The outcome of the meeting supports the progression of KarXT into Phase 3 development. Karuna plans to initiate two five-week inpatient trials evaluating the efficacy and safety of KarXT for the treatment of acute psychosis in adults with schizophrenia. The first Phase 3 trial, EMERGENT-2, is expected to commence by the end of 2020. This five-week, 1:1 randomized, flexible-dose, double-blind, placebo-controlled, inpatient trial will enroll approximately 250 adults in the U.S. and evaluate the change in Positive and Negative Syndrome Scale total score at Week 5 of KarXT versus placebo as the primary outcome measure. Details of the second efficacy trial, EMERGENT-3, will be finalized by the end of 2020, with initiation expected in the first half of 2021. The EMERGENT program also includes EMERGENT-4, a 52-week, outpatient, open-label long-term safety and tolerability extension trial of EMERGENT-2 and EMERGENT-3. EMERGENT-5, a 52-week, outpatient, open-label long-term trial evaluating the safety of KarXT in adults with schizophrenia who have not been enrolled in the EMERGENT-2 or EMERGENT-3 trials, is expected to commence the first half of 2021.</w:t>
      </w:r>
    </w:p>
    <w:p>
      <w:pPr>
        <w:spacing w:after="0" w:line="7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November 2019, Karuna announced topline results from a Phase 2 clinical trial of KarXT for the treatment of acute psychosis in patients with schizophrenia, in which KarXT met the trial’s primary endpoint with a statistically significant (p&lt;0.0001) and clinically meaningful 11.6 point mean reduction in total PANSS scores over placebo at week five (-17.4 KarXT vs. -5.9 placebo). Karuna also observed a statistically significant 3.2 point mean reduction from baseline in the PANSS-positive subscale (-5.6 KarXT vs. -2.4 placebo) and a statistically significant 2.3 point mean reduction from baseline in the PANSS-negative subscale (-3.2 KarXT v. -0.9 placebo) at week five (p&lt;0.0001 and p&lt;0.001, respectively). The total PANSS, PANSS-positive subscale, and the PANSS-negative subscale had statistically significant separation at every assessment throughout the trial.</w:t>
      </w:r>
    </w:p>
    <w:p>
      <w:pPr>
        <w:spacing w:after="0" w:line="178" w:lineRule="exact"/>
        <w:rPr>
          <w:sz w:val="20"/>
          <w:szCs w:val="20"/>
          <w:color w:val="auto"/>
        </w:rPr>
      </w:pPr>
    </w:p>
    <w:p>
      <w:pPr>
        <w:ind w:left="120" w:right="420"/>
        <w:spacing w:after="0" w:line="254" w:lineRule="auto"/>
        <w:rPr>
          <w:sz w:val="20"/>
          <w:szCs w:val="20"/>
          <w:color w:val="auto"/>
        </w:rPr>
      </w:pPr>
      <w:r>
        <w:rPr>
          <w:rFonts w:ascii="Arial" w:cs="Arial" w:eastAsia="Arial" w:hAnsi="Arial"/>
          <w:sz w:val="18"/>
          <w:szCs w:val="18"/>
          <w:color w:val="auto"/>
        </w:rPr>
        <w:t>The safety and tolerability of KarXT and dose selection for the Phase 2 clinical trial was supported by results from Karuna’s two Phase 1 healthy volunteer studies in over 140 patients with KarXT. As disclosed in its public filings, Karuna observed in its first Phase 1 randomized, double-blind placebo-controlled study that the addition of trospium to xanomeline was associated with clinically meaningful reductions in the rate of the most common treatment-emergent ChAEs than reported with xanomeline plus placebo, including nausea, vomiting, diarrhea and excess sweating and salivation. The overall ChAE rate was 64 percent on xanomeline plus placebo compared to 34 percent on KarXT (p=0.016). The rate of ChAEs for volunteers receiving KarXT (34 percent) was similar to the rate observed in volunteers receiving placebo during the lead-in period (32 percent), suggesting that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tolerability of KarXT was more similar to the placebo lead-in period than to treatment with xanomeline plus placebo.</w:t>
      </w:r>
    </w:p>
    <w:p>
      <w:pPr>
        <w:spacing w:after="0" w:line="225"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Karuna’s second Phase 1 study was a randomized, double-blind, placebo-controlled multiple ascending dose trial of KarXT. This trial evaluated twice-a-day dosing of the proprietary KarXT co-formulation containing fixed ratios of xanomeline and trospium, rather than the three-times-a-day dosing previously used with xanomeline. The study demonstrated tolerability at xanomeline dose levels exceeding those shown in previous studies of xanomeline alone. The co-formulation also achieved exposure levels equivalent to or higher than the separate dosage forms used previously.</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Karuna plans to initiate a Phase 2 trial evaluating KarXT for the treatment of psychosis in patients with schizophrenia who have an inadequate response to current standard of care therapies. The trial will evaluate the efficacy and safety of KarXT when dosed in conjunction with background antipsychotic treatment and its potential to improve symptoms in patients who had not achieved an adequate response on their current antipsychotic treatment given the unique mechanism of action of KarXT in comparison to existing standard of care therapies. Karuna plans to start this trial following the initiation of the Phase 3 trials within the EMERGENT program.</w:t>
      </w:r>
    </w:p>
    <w:p>
      <w:pPr>
        <w:spacing w:after="0" w:line="188"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Karuna anticipates topline results from a Phase 1b clinical trial in healthy elderly volunteers to assess the safety and tolerability of KarXT early in the second quarter of 2021. This Phase 1b trial is designed to demonstrate safety and tolerability of KarXT in healthy elderly volunteers in order to select the most appropriate dose to carry forward into future studies in patients with dementia-related psychosis.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Karuna has an exclusive license for xanomeline from Eli Lilly and has a patent portfolio more broadly covering selective muscarinic targeting enabled by the KarXT approach.</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Karuna has an active IND on file with the FDA for KarXT. Karuna also has ongoing discovery efforts to expand its pipeline. We do not control the clinical or regulatory development of Karuna’s product candidates.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disclosure above is qualified in its entirety by reference to Karuna’s public filings with the SEC.</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do not have any board designees on Karuna’s board of directors and we are not responsible for the development or commercialization of its product candidate. We have an interest in Karuna’s product candidates through our equity interest as well as our right to royalty payments as a percentage of net sales of any commercialized product covered by the granted license pursuant to a license agreement between us and Karuna.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Follica</w:t>
      </w:r>
    </w:p>
    <w:p>
      <w:pPr>
        <w:spacing w:after="0" w:line="117"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Follica is developing a regenerative biology platform designed to treat androgenetic alopecia, epithelial aging and other medical indications. Follica’s approach is based on generating an “embryonic window” in adults via a series of skin disruptions, stimulating stem cells causing new hair follicles to grow. We believe that Follica’s technology is the first observed to create new follicles and hair, followed by the application of specific compounds to enhance the effect.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Follica was incorporated in July 2005. The following chart summarizes the progress of Follica’s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100320" cy="12344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003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320" w:top="459"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We were interested in conditions of aging and focused on hair follicles given their importance in regulating human hair and skin rejuvenation across many medical conditions. We engaged leading dermatologists and hair follicle experts and identified and in-licensed intellectual property, or IP, from George Cotsarelis, M.D., the chair of the Department of Dermatology at the University of Pennsylvania, on hair follicle neogenesis, or HFN, prior to its publication in the journal </w:t>
      </w:r>
      <w:r>
        <w:rPr>
          <w:rFonts w:ascii="Arial" w:cs="Arial" w:eastAsia="Arial" w:hAnsi="Arial"/>
          <w:sz w:val="17"/>
          <w:szCs w:val="17"/>
          <w:i w:val="1"/>
          <w:iCs w:val="1"/>
          <w:color w:val="auto"/>
        </w:rPr>
        <w:t>Nature</w:t>
      </w:r>
      <w:r>
        <w:rPr>
          <w:rFonts w:ascii="Arial" w:cs="Arial" w:eastAsia="Arial" w:hAnsi="Arial"/>
          <w:sz w:val="17"/>
          <w:szCs w:val="17"/>
          <w:color w:val="auto"/>
        </w:rPr>
        <w:t>. We translated the academic work into an in-office procedure after testing a number of modalities for initiating HFN, identified and co-invented IP around modalities and drug compounds to enhance the newly formed hair follicles and helped conduct multiple POC studies to prioritize HFN inducing modalities and prioritize potential drug compounds.</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Follica’s core technology and patent suite has been developed in collaboration with leading researchers, building on the work of Dr. Cotsarelis. Follica’s other key scientific advisors include Richard Rox Anderson, M.D., Chairman of the Wellman Center for Photomedicine at the Massachusetts General Hospital, Ken Washenik, M.D., Ph.D., Medical Director of Bosley and the Executive Vice President of Scientific and Medical Development of the Aderans Research Institute.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Androgenetic alopecia represents the most common form of hair loss in men and women, with an estimated 90 million people who are eligible for treatment in the United States alone. Additionally, the market is estimated to be $1 billion in the United States and $3.5 billion globally. Only two drugs, both of which have demonstrated a 12 percent increase of non-vellus hair count over baseline for their primary endpoints, are currently approved for the treatment of androgenetic alopecia. The most effective current approach for the treatment of hair loss is hair transplant surgery, comprising a range of invasive, expensive procedures for a subset of patients who have enough donor hair to be eligible. As a result, Follica believes that there is significant unmet need for safe, effective, non-surgical treatments which grow new hair. Follica’s regenerative biology platform has potential applications beyond hair growth to other aging-related conditions and wound healing, such as facial skin rejuvenation.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In December 2019, Follica announced topline results from the safety and efficacy optimization study of its lead candidate to treat hair loss in male androgenetic alopecia. The study was designed to select the optimal treatment regimen using Follica’s proprietary device in combination with a topical drug and successfully met its primary endpoint. The selected treatment regimen demonstrated a statistically significant 44 percent improvement of non-vellus (visible) hair count after three months of treatment compared to baseline (p &lt; 0.001, n = 19). Across all three treatment arms, the overall improvement of non-vellus hair count after three months of treatment was 29 percent compared to baseline (p &lt; 0.001, n = 48), reflecting a clinical benefit across the entire study population and a substantially improved outcome seen with the optimal treatment regimen. Additionally, a prespecified analysis comparing the 44 percent change in non-vellus hair count to a 12 percent historical benchmark set by approved pharmaceutical products established statistical significance (p = 0.005).</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study was an endpoint-blinded, randomized, controlled study designed to establish therapeutic parameters for Follica’s proprietary Follica Hair Follicle Neogenesis, or HFN, device in combination with a topical on-market drug. The study involved a less than five-minute in-office experimental scalp procedure using the HFN and evaluated the optimal frequency and number of treatments across three arms. The study consisted of 48 men aged 18 to 40 who had moderate grades of androgenetic alopecia as determined by the Hamilton Norwood III-IV scale. The regimen was well tolerated across all treatment arms with no reported SAEs. No AEs were related to device treatment. A single non-severe event (headache) was determined to be related to use of the drug and is in line with minor side effects seen from treatment with the approved drug alone.</w:t>
      </w:r>
    </w:p>
    <w:p>
      <w:pPr>
        <w:spacing w:after="0" w:line="16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June 2020, Follica announced the completion of a successful End-of-Phase 2 meeting with the FDA for its lead program to treat male androgenetic alopecia, which supports the progression into Phase 3 development. The initiation of a Phase 3 registration program in male androgenetic alopecia is expected in 2021. Follica has an active IND on file with the FDA for FOL-004.</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the three previously conducted clinical studies of patients with androgenetic alopecia, Follica demonstrated hair follicle neogenesis via biopsy following skin disruption, and hair growth through target area hair count. One of these studies demonstrated that skin disruption alone generates not only new hair follicles but also terminal (visible, thick) hairs. Follica has been optimizing its device and conducting tests in androgenetic alopecia and other medical indications and is further developing and testing compounds that enhance the newly formed follicles and hairs.</w:t>
      </w:r>
    </w:p>
    <w:p>
      <w:pPr>
        <w:spacing w:after="0" w:line="17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Follica has studied the potential for its proprietary device approach to address other regenerative conditions, including female pattern hair loss and facial skin rejuvenation. Follica also has proprietary amplification compounds in development and ongoing discovery efforts to expand its pipeline.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designees represent a majority of the members of the board of directors of Follica, but Follica has its own independent management team.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role in the development of Follica’s product candidates is through our representation on its board of directors and our role as a majority shareholder.</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Vedanta Biosciences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Vedanta is developing a new category of therapies for immune-mediated diseases based on a rationally-defined consortia of human microbiome-derived bacteria. The human microbiome is increasingly implicated in various immune-mediated diseases. Vedanta is a leader in the field with capabilities and deep expertise to discover, develop and manufacture live bacteria drugs. These include what is believed to be a leading IP position with the largest collection of human microbiome-associated bacterial strains, a suite of proprietary assays to select pharmacologically potent strains, vast proprietary datasets from human interventional studies and facilities for current good manufacturing practice, or cGMP, compliant manufacturing of rationally-defined bacterial consortia in powder form. All of this work has helped move the microbiome field beyond correlation to causation, and beyond fecal transplants or fractions to defined, characterized biologic drugs.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Vedanta was incorporated in December 2010. The following chart summarizes Vedanta’s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160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216027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2017, Vedanta was awarded a grant of up to $5.4 million from CARB-X for the development of VE303. In 2020, Vedanta was awarded funding of $7.4 million, with the potential for up to an additional $69.5 million, from the Biomedical Advanced Research and Development Authority (BARDA) to advance clinical development of VE303. In 2018, Vedanta and Bristol-Myers Squibb announced a partnership to evaluate VE800 with Bristol-Myers Squibb’s checkpoint inhibitor Opdivo</w:t>
      </w:r>
      <w:r>
        <w:rPr>
          <w:rFonts w:ascii="Arial" w:cs="Arial" w:eastAsia="Arial" w:hAnsi="Arial"/>
          <w:sz w:val="14"/>
          <w:szCs w:val="14"/>
          <w:color w:val="auto"/>
        </w:rPr>
        <w:t>®</w:t>
      </w:r>
      <w:r>
        <w:rPr>
          <w:rFonts w:ascii="Arial" w:cs="Arial" w:eastAsia="Arial" w:hAnsi="Arial"/>
          <w:sz w:val="17"/>
          <w:szCs w:val="17"/>
          <w:color w:val="auto"/>
        </w:rPr>
        <w:t xml:space="preserve"> (nivolumab) in patients with selected types of advanced or metastatic cancer. As part of the agreement, BMS will supply nivolumab, and Vedanta will conduct the clinical trial.</w:t>
      </w:r>
    </w:p>
    <w:p>
      <w:pPr>
        <w:spacing w:after="0" w:line="109" w:lineRule="exact"/>
        <w:rPr>
          <w:sz w:val="20"/>
          <w:szCs w:val="20"/>
          <w:color w:val="auto"/>
        </w:rPr>
      </w:pPr>
    </w:p>
    <w:p>
      <w:pPr>
        <w:sectPr>
          <w:pgSz w:w="11900" w:h="16838" w:orient="portrait"/>
          <w:cols w:equalWidth="0" w:num="2">
            <w:col w:w="520" w:space="360"/>
            <w:col w:w="1024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PureTech Team</w:t>
      </w:r>
    </w:p>
    <w:p>
      <w:pPr>
        <w:spacing w:after="0" w:line="11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We were interested in translating the crosstalk between the immune system and commensal microbes that live in our bodies into therapeutics to modulate a range of immunological processes. We engaged with leading world-renowned experts in immunology, including Dr. Ruslan Medzhitov, professor of Immunobiology at Yale; Dr. Alexander Rudensky, a tri-institutional professor at the Memorial Sloan-Kettering Institute, the Rockefeller University, and Cornell University; Dr. Dan Littman, professor of Molecular Immunology at NYU; Dr. Brett Finlay, professor at the University of British Columbia; and Dr. Kenya Honda, professor at the School of Medicine, Keio University. Drs. Honda and Rudensky demonstrated the role of the microbiota in inducing regulatory T cells and uncovered some of the molecular mediators, known as short chain fatty acids.</w:t>
      </w:r>
    </w:p>
    <w:p>
      <w:pPr>
        <w:spacing w:after="0" w:line="16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We identified and in-licensed intellectual property from Dr. Honda when he was at Tokyo University in November 2011 before his seminal work was published in the journals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and </w:t>
      </w:r>
      <w:r>
        <w:rPr>
          <w:rFonts w:ascii="Arial" w:cs="Arial" w:eastAsia="Arial" w:hAnsi="Arial"/>
          <w:sz w:val="18"/>
          <w:szCs w:val="18"/>
          <w:i w:val="1"/>
          <w:iCs w:val="1"/>
          <w:color w:val="auto"/>
        </w:rPr>
        <w:t>Nature</w:t>
      </w:r>
      <w:r>
        <w:rPr>
          <w:rFonts w:ascii="Arial" w:cs="Arial" w:eastAsia="Arial" w:hAnsi="Arial"/>
          <w:sz w:val="18"/>
          <w:szCs w:val="18"/>
          <w:color w:val="auto"/>
        </w:rPr>
        <w:t>. Based on Dr. Honda’s work, we pioneered the concept of defined consortia of microbes to modulate the immune system or treat bacterial infections. We played a critical role in the initial product development, initial experiments and planning of key clinical studies, business development and fundraising, and a core PureTech team member who helped lead the identification and platform development is now the chief executive officer of Vedanta.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 xml:space="preserve">Clostridioides Difficile Infection: </w:t>
      </w:r>
      <w:r>
        <w:rPr>
          <w:rFonts w:ascii="Arial" w:cs="Arial" w:eastAsia="Arial" w:hAnsi="Arial"/>
          <w:sz w:val="17"/>
          <w:szCs w:val="17"/>
          <w:color w:val="auto"/>
        </w:rPr>
        <w:t>The Center for Disease Control and Prevention considers CDI one of the most urgent bacterial threats.</w:t>
      </w:r>
      <w:r>
        <w:rPr>
          <w:rFonts w:ascii="Arial" w:cs="Arial" w:eastAsia="Arial" w:hAnsi="Arial"/>
          <w:sz w:val="17"/>
          <w:szCs w:val="17"/>
          <w:i w:val="1"/>
          <w:iCs w:val="1"/>
          <w:color w:val="auto"/>
        </w:rPr>
        <w:t xml:space="preserve"> C. difficile </w:t>
      </w:r>
      <w:r>
        <w:rPr>
          <w:rFonts w:ascii="Arial" w:cs="Arial" w:eastAsia="Arial" w:hAnsi="Arial"/>
          <w:sz w:val="17"/>
          <w:szCs w:val="17"/>
          <w:color w:val="auto"/>
        </w:rPr>
        <w:t>infections account for approximately 12,800 deaths each year in the United States alone and there are approximately 500,000 cases annually, of which 100,000 to 120,000 patients experience recurrence. Existing interventions include antibiotics such as vancomycin or metronidazole, which have the undesirable side effect of damaging the gut microbiome and leaving patients vulnerable to re-infection. An alternative intervention, fecal transplantation, is an experimental procedure which is exceedingly difficult to standardize and scale and is fraught with potential safety issues.</w:t>
      </w:r>
    </w:p>
    <w:p>
      <w:pPr>
        <w:spacing w:after="0" w:line="176"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i w:val="1"/>
          <w:iCs w:val="1"/>
          <w:color w:val="auto"/>
        </w:rPr>
        <w:t xml:space="preserve">Inflammatory Bowel Disease: </w:t>
      </w:r>
      <w:r>
        <w:rPr>
          <w:rFonts w:ascii="Arial" w:cs="Arial" w:eastAsia="Arial" w:hAnsi="Arial"/>
          <w:sz w:val="17"/>
          <w:szCs w:val="17"/>
          <w:color w:val="auto"/>
        </w:rPr>
        <w:t>IBD is estimated to affect approximately three million people in the United States, and other autoimmune diseases affect</w:t>
      </w:r>
      <w:r>
        <w:rPr>
          <w:rFonts w:ascii="Arial" w:cs="Arial" w:eastAsia="Arial" w:hAnsi="Arial"/>
          <w:sz w:val="17"/>
          <w:szCs w:val="17"/>
          <w:i w:val="1"/>
          <w:iCs w:val="1"/>
          <w:color w:val="auto"/>
        </w:rPr>
        <w:t xml:space="preserve"> </w:t>
      </w:r>
      <w:r>
        <w:rPr>
          <w:rFonts w:ascii="Arial" w:cs="Arial" w:eastAsia="Arial" w:hAnsi="Arial"/>
          <w:sz w:val="17"/>
          <w:szCs w:val="17"/>
          <w:color w:val="auto"/>
        </w:rPr>
        <w:t>over 20 million people in the United States. Many of the existing interventions are limited by toxicities and systemic immune suppression.</w:t>
      </w:r>
    </w:p>
    <w:p>
      <w:pPr>
        <w:spacing w:after="0" w:line="146"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i w:val="1"/>
          <w:iCs w:val="1"/>
          <w:color w:val="auto"/>
        </w:rPr>
        <w:t xml:space="preserve">Allergies: </w:t>
      </w:r>
      <w:r>
        <w:rPr>
          <w:rFonts w:ascii="Arial" w:cs="Arial" w:eastAsia="Arial" w:hAnsi="Arial"/>
          <w:sz w:val="17"/>
          <w:szCs w:val="17"/>
          <w:color w:val="auto"/>
        </w:rPr>
        <w:t>Food allergies are a growing U.S. public health concern and have an estimated annual economic cost near $25 billion. Peanut allergies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affect an estimated 2.5 million people in the United States. Current treatment options primarily center around allergen avoidance. Desensitization regimens in development have limited efficacy, are risky, require treatment for life and may not be cost-effective. Vedanta’s product candidate, VE416, is being developed to safely induce permanent tolerance to food allergens including peanut allergy.</w:t>
      </w:r>
    </w:p>
    <w:p>
      <w:pPr>
        <w:spacing w:after="0" w:line="17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 xml:space="preserve">Immuno-Oncology: </w:t>
      </w:r>
      <w:r>
        <w:rPr>
          <w:rFonts w:ascii="Arial" w:cs="Arial" w:eastAsia="Arial" w:hAnsi="Arial"/>
          <w:sz w:val="18"/>
          <w:szCs w:val="18"/>
          <w:color w:val="auto"/>
        </w:rPr>
        <w:t>Despite profound survival improvements in some patients, checkpoint inhibitors such as PD-1, PDL-1 and CTLA-4 are only</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 20 to 30 percent of patients. Common tumor types where checkpoint inhibitors are utilized include lung, bladder, skin, and renal cancers. Vedanta’s immuno-oncology product candidate, VE800, is designed to act in combination with approved checkpoint inhibitors and potentially other immunotherapies to safely improve their efficacy. Initial proposed indications include advanced and metastatic MSS colorectal cancers, affecting more than 46,000 U.S. patients per year, gastric cancers, affecting more than 11,000 U.S. patients per year and melanoma, affecting more than 9,000 U.S. patients per year.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Microbiome Field: Moving Beyond Fecal Transplants and Fractions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Unlike fecal transplants, which require use of donors and are untargeted, inherently variable procedures, Vedanta’s approach is based on bacterial consortia therapeutics, which are defined drug compositions produced from clonally isolated bacteria that can trigger targeted immune responses. Unlike single strain probiotics, defined consortia can robustly shift the composition of the gut microbiota and provide colonization resistance against a range of intestinal infectious pathogens.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Vedanta’s novel product candidates are administered as a lyophilized powder in a capsule dosage form, designed to have specific effects on the immune system, including restoring the balance of the microbiome in the gut to treat immune and infectious diseases and immunopotentiating responses to treat cancer.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VE303, Vedanta’s product candidate for the treatment of high-risk CDI, is being studied in a Phase 2 clinical trial in patients at high risk of rCDI. The trial was initiated in December 2018, and dose selection was based on the results from the Phase 1a/1b clinical trial in healthy volunteers, which showed that VE303 treatment resulted in rapid, durable, dose-dependent colonization and accelerated gut microbiota restoration after antibiotics. Clinical results for the Phase 2 clinical trial of VE303 are anticipated in 2021.</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VE202, Vedanta’s product candidate for IBD, was evaluated in two Phase 1 clinical trials in healthy volunteers. Vedanta announced positive topline data from these studies which showed that VE202 was generally well-tolerated at all doses and demonstrated durable and dose-dependent colonization. The trial was conducted by Janssen Research &amp; Development, LLC, and a more complete study dataset and analyses will be submitted to a peer-reviewed journal. Vedanta has regained full rights to the program and will owe Janssen single-digit royalty payments on net sales of a commercialized product. Vedanta plans to take the program forward into a Phase 2 study in 2021.</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VE416, Vedanta’s product candidate for food allergy, is being evaluated in a Phase 1/2 investigator sponsors trial at Mass General Hospital for Children for patients 12 years of age or older with a history of peanut allergy. The first patient was enrolled in July 2019 and will explore VE416 both as a monotherapy and in combination with an oral peanut immunotherapy over the course of several months. Topline data from the Phase 1/2 clinical trial of VE416 in food allergy are expected in 2021.</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VE800, Vedanta’s immuno-oncology product candidate, is being evaluated in a first-in-patient clinical trial with Bristol-Myers Squibb’s, or BMS, checkpoint inhibitor Opdivo</w:t>
      </w:r>
      <w:r>
        <w:rPr>
          <w:rFonts w:ascii="Arial" w:cs="Arial" w:eastAsia="Arial" w:hAnsi="Arial"/>
          <w:sz w:val="15"/>
          <w:szCs w:val="15"/>
          <w:color w:val="auto"/>
        </w:rPr>
        <w:t>®</w:t>
      </w:r>
      <w:r>
        <w:rPr>
          <w:rFonts w:ascii="Arial" w:cs="Arial" w:eastAsia="Arial" w:hAnsi="Arial"/>
          <w:sz w:val="18"/>
          <w:szCs w:val="18"/>
          <w:color w:val="auto"/>
        </w:rPr>
        <w:t xml:space="preserve"> (nivolumab) in patients with selected types of advanced or metastatic cancer. The trial was initiated in December 2019, and topline results are anticipated in 2021. As part of the agreement with BMS, Vedanta will conduct the clinical trial and BMS will supply nivolumab. Active INDs or the foreign regulatory equivalent are on file for VE202, VE303, VE416 and VE800.</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Vedanta also has ongoing discovery efforts to expands its pipeline, including VE707. VE707 is Vedanta’s preclinical discovery program for the prevention of infection and reoccurrence of several multi-drug resistant organisms, or MDROs, including carbapenem-resistant Enterobacteriaceae, or CRE, extended-spectrum beta lactamase producers, or ESBL, and vancomycin-resistant Enterococci, or VRE, which are some of the most common hospital-acquired infections.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board designees represent a majority of the members of the board of directors of Vedanta, but Vedanta has its own independent management team. Our role in the development of Vedanta’s product candidates is through our representation on its board of directors and our role as a majority shareholder.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Sonde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Sonde Health, Inc., or Sonde, is developing a voice-based technology platform to measure health when a person speaks. Sonde’s proprietary technology is designed to sense and analyze subtle changes in the voice to create a range of persistent brain, muscle and respiratory health measurements that provide a more complete picture of health in just seconds.</w:t>
      </w:r>
    </w:p>
    <w:p>
      <w:pPr>
        <w:spacing w:after="0" w:line="18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We believe Sonde’s Vocal Biomarker program has demonstrated the potential to screen and monitor for disease using information obtained from an individual’s voice on commonly-owned devices, such as smartphones and smart speakers, and it has the potential to fundamentally change the way mental and physical health is screened and monitored.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Sonde was incorporated in February 2015. The following chart summarizes the progress of Sonde’s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165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were interested in new ways to detect and quantify disease in a low- to no-burden manner that could allow for more proactive and potentially effective interventions. We selected vocal features as leading source of health data for this purpose, particularly given the evolving technology landscape where voice interactions with devices are rapidly increasing, and we identified and in-licensed proprietary technology from Thomas Quatieri, Ph.D., at MIT’s Lincoln Laboratory in May 2016. Pursuant to an exclusive license agreement with Dr. Quatieri, we paid an upfront fee and are obligated to pay annual license maintenance fees, both of which we deem immaterial. Pursuant to the agreement, we are also obligated to pay MIT a low single-digit running royalty of net sales of any commercialized product covered by the agreement and a mid double-digit running royalty of net sales of any commercialized product of a party that we sublicense. MIT also is also eligible to receive milestone payments upon the achievement of specified development, regulatory and commercial milestones up to $250,000. We developed additional, novel IP around this concept and helped advance the technology from an academic concept to a commercially-focused technology. A core PureTech team member who played a critical role in founding Sonde is currently the chief operating officer.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lag between onset of disease and accurate diagnosis and beginning of treatment can be measured in years for many high-burden health conditions, including depression, AD, multiple sclerosis, Parkinson’s disease and cardiovascular and respiratory diseases, to name just a few. Depression alone affects approximately 17 million adults in the United States. Near-continuous health information, powered by Sonde’s technology, has the potential to improve screening, monitoring, and timeliness of treatment of high-cost conditions, broadly improving outcomes and care efficiency.</w:t>
      </w:r>
    </w:p>
    <w:p>
      <w:pPr>
        <w:spacing w:after="0" w:line="15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Development of effective therapies for CNS diseases and disorders is hampered by the high cost and inherent variability of these diseases and the reference diagnostic measures used to characterize them. Objective digital tools that can augment, and perhaps one day replace, the current clinical endpoints with novel measures that can be quantified with more meaningful accuracy and less burden can improve patient enrollment and drug development for a range of important conditions.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As of the date of this registration statement, Sonde has collected voice data from over 50,000 subjects as a part of the ongoing validation of its platform, and it has also initiated research and development to expand its proprietary technology into AD, respiratory and cardiovascular disease, as well as other health and wellness conditions. Sonde is collaborating with the University of New South Wales and Black Dog Institute in Australia to create the first mobile device-based automatic assessment of depression from acoustic speech and has entered into collaborative partnerships with leading institutions, including UMass Memorial Medical Center, Yale University, Partners Massachusetts General Hospital and multiple other ex-U.S. hospitals, clinics and academic medicine centers.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July 2020, Sonde launched Sonde One for Respiratory, a new voice-enabled health detection and monitoring app, to potentially help employers improve employee safety, meet government mandates and satisfy their own administrative needs as they reopen office doors in a COVID-19 environment. Leveraging the company’s advanced vocal biomarker platform and machine learning technology, Sonde One combines 6-second voice analysis, CDC-informed COVID-19 questionnaire and body temperature reporting in one app and is designed to give employees clear instructions about where they can work within one minute. Sonde partnered with corporate wellness solutions provider Wellworks for You to bring the health screening tool to market. SHI International, a 5,000-person global provider of technology products and services, is the first enterprise to enrol. The company will begin implementing the Sonde One for Respiratory app in August, as it gradually begins bringing employees back to the workplace.</w:t>
      </w:r>
    </w:p>
    <w:p>
      <w:pPr>
        <w:spacing w:after="0" w:line="16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 August 2020, Sonde acquired NeuroLex Labs, a leading voice-enabled survey and data acquisition platform. As part of the agreement, Jim Schwoebel, the chief executive officer of NeuroLex, has joined Sonde’s leadership team as vice president, data and research. The transaction did not involve any financial participation from the PureTech parent level.</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Sonde is also creating the first mobile device-based automatic assessment of depression, Sonde One for Depression, a new voice-enabled health detection and monitoring app, to potentially help employers and payors improve engagement in services to address employee and patient behavioral health needs. Leveraging the company’s advanced vocal biomarker platform and machine learning technology, Sonde One for Depression will also combine 6-second voice analysis with validated self-report questions in one app and is designed to give employees a timely indication of how important measures of mental health and symptoms may be changing.</w:t>
      </w:r>
    </w:p>
    <w:p>
      <w:pPr>
        <w:spacing w:after="0" w:line="188"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Sonde has ongoing discovery efforts to expand its pipeline. Sonde has obtained Institutional Review Board, or IRB, approval independently or in collaboration with partner institutions that covers all past and ongoing human data collection for research in the United States and abroad.</w:t>
      </w:r>
    </w:p>
    <w:p>
      <w:pPr>
        <w:spacing w:after="0" w:line="12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We have two board designee on the board of directors of Sonde, but Sonde has its own independent management team. Our role in the development of Sonde’s product candidates is through our representation on its board of directors and our role as a majority shareholder.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Alivio</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Alivio is pioneering inflammation-targeted disease immunomodulation, which involves selectively restoring immune homeostasis at inflamed sites in the body, while having minimal impact on the rest of the body’s immune system, as a novel strategy to treat a range of chronic and acute inflammatory disorders. This long sought-after approach has the potential to broadly enable new medicines to treat a range of chronic and acute inflammatory disorders, including enabling the use of drugs which were previously limited by issues of systemic toxicity or PK.</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achieve the vision of selective immunomodulation, Alivio is developing a proprietary platform centered on a class of self-assembling therapies that selectively bind to inflamed tissue. Alivio’s platform has been validated in multiple labs using a range of animal models and indications. The platform is able to entrap a wide array of APIs, including small molecules, biologics and nucleic acids. By selectively targeting API pharmacology to inflamed tissue, Alivio is developing product candidates that are designed to selectively treat autoimmune disease without having related systemic toxicities. Alivio’s pipeline includes candidates for IBD, pouchitis and interstitial cystitis or bladder pain syndrome, or IC/BPS.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Alivio was incorporated in December 2015. The following chart summarizes the progress of Alivio’s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0313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60" w:hanging="219"/>
        <w:spacing w:after="0" w:line="255" w:lineRule="auto"/>
        <w:tabs>
          <w:tab w:leader="none" w:pos="320" w:val="left"/>
        </w:tabs>
        <w:rPr>
          <w:sz w:val="20"/>
          <w:szCs w:val="20"/>
          <w:color w:val="auto"/>
        </w:rPr>
      </w:pPr>
      <w:r>
        <w:rPr>
          <w:rFonts w:ascii="Arial" w:cs="Arial" w:eastAsia="Arial" w:hAnsi="Arial"/>
          <w:sz w:val="18"/>
          <w:szCs w:val="18"/>
          <w:color w:val="auto"/>
        </w:rPr>
        <w:t>*</w:t>
        <w:tab/>
        <w:t>ALV-107 preclinical development through its IND-enabling safety study was supported, in part, by a $3.3 million grant from the U.S. Department of Defense and in collaboration with Purdue Pharma LP (Imbrium Therapeutics). See “Alivio—Development Status” for more information about Alivio’s agreement with Purdue.</w:t>
      </w:r>
    </w:p>
    <w:p>
      <w:pPr>
        <w:spacing w:after="0" w:line="3"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**ALV-preclinical research and development activities will be supported, in part, by a $3.3 million grant from the U.S. Department of Defense. 304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 key challenge in new drug development for autoimmune and inflammatory disease is that attractive drug targets are frequently expressed in both diseased and normal tissue. Consequently, we were interested in identifying ways to address autoimmune disease in a targeted manner. We were inspired by a key observation, which is that pathologic inflammation frequently manifests at specific sites in tissues and organs and is driven by dysfunctional immune signaling. However, traditional approaches act to broadly suppress the immune system throughout the body. This mismatch substantially limits the potential targets that can be pursued and frequently results in narrow therapeutic windows. We worked with leading immunology experts and identified and in-licensed a technology created by Alivio’s co-founder Jeffrey Karp, Ph.D., professor of medicine at Harvard Medical School and Brigham and Women’s Hospital, and Robert Langer, Sc.D., David H Koch Institute Professor at MIT, that was centered around this unique inflammation-targeting and inflammation-responsive platform in May 2016. In addition to repeating key academic work and developing product candidates, Alivio continues to move those product candidates into the clinic while we oversee business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Results in preclinical models suggest the Alivio technology could be applied to diseases such as IBD, pouchitis, inflammatory arthritis, organ transplantation, and IC/BPS. These diseases collectively impact tens of millions of patients in the United States alone and have limited treatment options.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IC/BPS is a chronic bladder condition that consists of discomfort or pain in the bladder or surrounding pelvic region and is often associated with frequent urination. It is estimated to affect four million to 12 million people in the United States. Current treatments fail to control pain in many patients. Pouchitis is estimated to affect between 70,000 and 135,000 people in the U.S. IBD is estimated to affect approximately three million people in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Alivio plans to file an IND for ALV-107 for IC/BPS in 2021 and an IND for ALV-304 for IBD in 2022. In December 2018, Alivio entered into a research collaboration, option and license agreement with Imbrium Therapeutics L.P., an entity affiliated with Purdue Pharma LP, or Purdue, to advance Alivio’s product candidate, ALV-107, through clinical development and commercialization. Under the terms of the agreement, Alivio is eligible to receive up to $14.8 million in upfront and near-term license option exercise payments and is eligible to receive low single digit to low teens royalties in tiers on product sales and over $260.0 million in research and development milestones. Purdue does not currently have any ownership interest in ALV-107, but does have an option to exercise for rights to develop ALV-107 under the agreement. Purdue also has an option to collaborate on a limited number of additional compounds utilizing Alivio’s inflammation-targeting technology, as well as an option to invest in Alivio’s next equity financing. Alivio is also evaluating the potential application of its proprietary platform to enable the oral administration of biologics in additional indications. Alivio also has ongoing discovery efforts to expand its pipeline. We are evaluating the impact, if any, of the announced Chapter 11 bankruptcy by Purdue on this collaboration agreement.</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majority of the board of directors of Alivio are PureTech employees. These PureTech employees actively manage the day-to-day business activities of Alivio and together with Alivio’s Chief Executive Officer and the board of directors of Alivio, which is controlled by PureTech, direct the strategy and decision making in connection with the clinical and regulatory development of Alivio’s product candidates. As a result, we exert substantial control over the clinical and regulatory development of Alivio’s product candidates. Additionally, Alivio’s lab and office space is shared with our lab and office space.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Entrega</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Entrega is focused on the oral delivery of biologics, vaccines and other drugs that are otherwise not efficiently absorbed when taken orally. The vast majority of biologic drugs, including peptides, proteins and other macromolecules, are currently administered by injection, which can present challenges for healthcare delivery and compliance with treatment regimes. Entrega believes oral administration thus represents an ideal administration approach for this increasingly large class of therapies reshaping many areas of medicine, including the treatment of diabetes.</w:t>
      </w:r>
    </w:p>
    <w:p>
      <w:pPr>
        <w:spacing w:after="0" w:line="171"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Entrega’s technology platform is an innovative approach to oral delivery which uses a proprietary, customizable hydrogel dosage form to control local fluid microenvironments in the GI tract in an effort to both enhance absorption and reduce the variability of drug exposure.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Entrega was incorporated in December 2010.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We were interested in enabling the oral administration of biologics, which has been a long-standing problem in drug development. We engaged with leading experts in drug delivery, including Robert Langer, Sc.D., and screened over 100 technologies and the initial platform was licensed from Samir Mitragotri, Ph.D., professor of chemical engineering at UC Santa Barbara. We later enhanced this platform with IP developed by our team.</w:t>
      </w:r>
    </w:p>
    <w:p>
      <w:pPr>
        <w:spacing w:after="0" w:line="149" w:lineRule="exact"/>
        <w:rPr>
          <w:sz w:val="20"/>
          <w:szCs w:val="20"/>
          <w:color w:val="auto"/>
        </w:rPr>
      </w:pPr>
    </w:p>
    <w:p>
      <w:pPr>
        <w:ind w:left="120" w:right="520"/>
        <w:spacing w:after="0" w:line="301" w:lineRule="auto"/>
        <w:rPr>
          <w:sz w:val="20"/>
          <w:szCs w:val="20"/>
          <w:color w:val="auto"/>
        </w:rPr>
      </w:pPr>
      <w:r>
        <w:rPr>
          <w:rFonts w:ascii="Arial" w:cs="Arial" w:eastAsia="Arial" w:hAnsi="Arial"/>
          <w:sz w:val="16"/>
          <w:szCs w:val="16"/>
          <w:color w:val="auto"/>
        </w:rPr>
        <w:t>Other scientific and business advisors include Colin Gardner, Ph.D., former chief scientific officer of Transform Pharmaceuticals, former SVP of research and site head at Johnson &amp; Johnson and formerly VP of pharmaceutical R&amp;D at Merck &amp; Co., Inc., or Merck; Rodney Pearlman, Ph.D., formerly CEO of Nuon Therapeutics, President &amp; CEO of Saegis Pharmaceuticals; and director of pharmaceutical R&amp;D at Genentech; Robert Armstrong, Ph.D., cofounder and chief executive officer of Boston Pharmaceuticals; and Mr. Howie Rosen, former president of ALZA.</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To validate its technology, Entrega generated POC preclinical data demonstrating delivery of therapeutic peptides into the bloodstream of large animals. Entrega received $5 million in equity and research funding from Eli Lilly to investigate the application of its peptide delivery technology to certain Lilly therapeutic candidates. Entrega also has ongoing discovery efforts to expand its pipeline.</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management team of Entrega consists of PureTech employees, and a majority of the board of directors are PureTech designees. These PureTech employees actively manage the day-to-day business activities of Entrega and together with the board of directors of Entrega, which is controlled by PureTech, direct the strategy and decision making in connection with the clinical and regulatory development of Entrega’s product candidates. As a result, we exert substantial control over the clinical and regulatory development of Entrega’s product candidates. Additionally, Entrega’s lab and office space is shared with our lab and office space.</w:t>
      </w:r>
    </w:p>
    <w:p>
      <w:pPr>
        <w:spacing w:after="0" w:line="292" w:lineRule="exact"/>
        <w:rPr>
          <w:sz w:val="20"/>
          <w:szCs w:val="20"/>
          <w:color w:val="auto"/>
        </w:rPr>
      </w:pPr>
    </w:p>
    <w:p>
      <w:pPr>
        <w:ind w:left="120" w:right="3960"/>
        <w:spacing w:after="0" w:line="377" w:lineRule="auto"/>
        <w:rPr>
          <w:sz w:val="20"/>
          <w:szCs w:val="20"/>
          <w:color w:val="auto"/>
        </w:rPr>
      </w:pPr>
      <w:r>
        <w:rPr>
          <w:rFonts w:ascii="Arial" w:cs="Arial" w:eastAsia="Arial" w:hAnsi="Arial"/>
          <w:sz w:val="18"/>
          <w:szCs w:val="18"/>
          <w:b w:val="1"/>
          <w:bCs w:val="1"/>
          <w:color w:val="auto"/>
        </w:rPr>
        <w:t xml:space="preserve">Founded Entities in which PureTech has an Equity Interest, in Order of Development Stage </w:t>
      </w:r>
      <w:r>
        <w:rPr>
          <w:rFonts w:ascii="Arial" w:cs="Arial" w:eastAsia="Arial" w:hAnsi="Arial"/>
          <w:sz w:val="18"/>
          <w:szCs w:val="18"/>
          <w:b w:val="1"/>
          <w:bCs w:val="1"/>
          <w:i w:val="1"/>
          <w:iCs w:val="1"/>
          <w:color w:val="auto"/>
        </w:rPr>
        <w:t>Akili</w:t>
      </w:r>
    </w:p>
    <w:p>
      <w:pPr>
        <w:spacing w:after="0" w:line="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Akili is a leading digital therapeutics company, combining scientific and clinical rigor with the ingenuity of the tech industry with a goal of changing how medicine is developed, delivered and experienced. Akili is pioneering the development of treatments designed to have direct therapeutic activity, delivered not through a traditional pill but via a high-quality video game experience. Akili is evaluating a number of technologies and potential new digital medicines designed to target neural systems to improve associated cognitive functions. In June 2020, Akili received clearance from the FDA for EndeavorRx</w:t>
      </w:r>
      <w:r>
        <w:rPr>
          <w:rFonts w:ascii="Arial" w:cs="Arial" w:eastAsia="Arial" w:hAnsi="Arial"/>
          <w:sz w:val="14"/>
          <w:szCs w:val="14"/>
          <w:color w:val="auto"/>
        </w:rPr>
        <w:t>TM</w:t>
      </w:r>
      <w:r>
        <w:rPr>
          <w:rFonts w:ascii="Arial" w:cs="Arial" w:eastAsia="Arial" w:hAnsi="Arial"/>
          <w:sz w:val="17"/>
          <w:szCs w:val="17"/>
          <w:color w:val="auto"/>
        </w:rPr>
        <w:t xml:space="preserve"> (AKL-T01) as a prescription treatment to improve attention function in children with attention-deficit/hyperactivity disorder, or ADHD. Also in June 2020, Akili received a Conformité Européenne, or CE Mark, certification for EndeavorRx as a prescription-only digital therapeutic intended for the treatment of attention and inhibitory control deficits in pediatric patients with ADHD. Additionally, through a collaboration and development agreement with Shionogi, Akili is pursuing regulatory approval in Japan for EndeavorRx. Akili has evaluated its platform technology in studies of various sizes across a variety of patient populations suffering from cognitive dysfunction, including adult ADHD, ASD, multiple sclerosis, or MS, major depression disorder, or MDD, Parkinson’s-related mild cognitive impairment, or MCI, and traumatic brain injury, or TBI. Currently focused on the clinical study of the company’s patented Selective Stimulus Management Engine, or SSME</w:t>
      </w:r>
      <w:r>
        <w:rPr>
          <w:rFonts w:ascii="Arial" w:cs="Arial" w:eastAsia="Arial" w:hAnsi="Arial"/>
          <w:sz w:val="14"/>
          <w:szCs w:val="14"/>
          <w:color w:val="auto"/>
        </w:rPr>
        <w:t>TM</w:t>
      </w:r>
      <w:r>
        <w:rPr>
          <w:rFonts w:ascii="Arial" w:cs="Arial" w:eastAsia="Arial" w:hAnsi="Arial"/>
          <w:sz w:val="17"/>
          <w:szCs w:val="17"/>
          <w:color w:val="auto"/>
        </w:rPr>
        <w:t>, core technology, Akili has conducted more than 30 clinical trials of SSME across a number of different diseases and disorders. Akili is also developing complementary and integrated monitoring and measurement-based care applications, including Akili Care</w:t>
      </w:r>
      <w:r>
        <w:rPr>
          <w:rFonts w:ascii="Arial" w:cs="Arial" w:eastAsia="Arial" w:hAnsi="Arial"/>
          <w:sz w:val="14"/>
          <w:szCs w:val="14"/>
          <w:color w:val="auto"/>
        </w:rPr>
        <w:t>TM</w:t>
      </w:r>
      <w:r>
        <w:rPr>
          <w:rFonts w:ascii="Arial" w:cs="Arial" w:eastAsia="Arial" w:hAnsi="Arial"/>
          <w:sz w:val="17"/>
          <w:szCs w:val="17"/>
          <w:color w:val="auto"/>
        </w:rPr>
        <w:t>—comprising a mobile tracking app (ADHD Insight</w:t>
      </w:r>
      <w:r>
        <w:rPr>
          <w:rFonts w:ascii="Arial" w:cs="Arial" w:eastAsia="Arial" w:hAnsi="Arial"/>
          <w:sz w:val="14"/>
          <w:szCs w:val="14"/>
          <w:color w:val="auto"/>
        </w:rPr>
        <w:t>TM</w:t>
      </w:r>
      <w:r>
        <w:rPr>
          <w:rFonts w:ascii="Arial" w:cs="Arial" w:eastAsia="Arial" w:hAnsi="Arial"/>
          <w:sz w:val="17"/>
          <w:szCs w:val="17"/>
          <w:color w:val="auto"/>
        </w:rPr>
        <w:t>) and personalized dashboard showing the child’s EndeavorRx treatment and symptom/behavior tracking data and support and resources to help guide caregivers through their child’s treatment experience. Akili was incorporated in February 2012.</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following chart summarizes the current stage of product candidates that have been evaluated by Akili. Following the FDA clearance of EndeavorRx and the evolving healthcare and mental health landscape, Akili is undergoing a pipeline prioritization strategic review which may result in a change in or the addition of product candidates and/or indications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57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 by the PureTech Team</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We were interested in identifying novel approaches to measure and improve cognition in a safe and non-invasive manner. We engaged with leading neuroscientists and clinicians who had been studying the effects of video games on cognition and the underlying neural processes accessible by sensory stimulation, and we identified and in-licensed from the University of California, San Francisco, or UCSF, the intellectual property invented by Dr. Adam Gazzaley, M.D., Ph.D., professor of neurology, psychiatry and physiology at UCSF and the inventor of this platform technology, in October 2013 before his work was published as a cover story in the journal </w:t>
      </w:r>
      <w:r>
        <w:rPr>
          <w:rFonts w:ascii="Arial" w:cs="Arial" w:eastAsia="Arial" w:hAnsi="Arial"/>
          <w:sz w:val="17"/>
          <w:szCs w:val="17"/>
          <w:i w:val="1"/>
          <w:iCs w:val="1"/>
          <w:color w:val="auto"/>
        </w:rPr>
        <w:t>Nature</w:t>
      </w:r>
      <w:r>
        <w:rPr>
          <w:rFonts w:ascii="Arial" w:cs="Arial" w:eastAsia="Arial" w:hAnsi="Arial"/>
          <w:sz w:val="17"/>
          <w:szCs w:val="17"/>
          <w:color w:val="auto"/>
        </w:rPr>
        <w:t>. We then collaborated with Dr. Gazzaley to translate the underlying academic device into a medical intervention, including overseeing the initial product development and design and the implementation of the initial POC studies. We helped to build development and commercial teams and raise funds, including from the investment arms of Amgen and Merck KGaA, Darmstadt, Germany as a part of Akili’s Series B financing round. One of the core PureTech team members who helped lead the identification and platform development is now the CEO of Akili.</w:t>
      </w:r>
    </w:p>
    <w:p>
      <w:pPr>
        <w:spacing w:after="0" w:line="18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Akili’s FDA-cleared product, EndeavorRx, is based on a platform technology exclusively licensed from UCSF. The proprietary platform targets cognitive interference processing while also adapting difficulty automatically in real-time, allowing individuals of wide-ranging ability levels to interact with the product in their homes without the need for physician calibration or additional hardware. Dr. Gazzaley currently serves as the chief scientific advisor and a board member of Akili. Daphne Bavelier, Ph.D., associate professor in the Department of Brain and Cognitive Sciences at the University of Rochester and at the University of Geneva, is a co-founding scientific advisor.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Cognitive dysfunction is a key feature of many neuropsychiatric disorders, including ADHD, ASD, MS, MDD, MCI, TBI and AD. The treatment of the cognitive dysfunction associated with these conditions is only partially served, or not served at all, by currently available medications or by in-person behavioral therapy.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There are approximately 6.4 million pediatric ADHD patients in the United States and this market—and other markets where Akili’s cognitive dysfunction targeting products may address the cognitive dysfunction associated with neuropsychiatric disorders—represent significant potential opportunities for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Akili’s Innovative Approach</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Akili’s treatment is based on a patented technology that is designed to deploy sensory and motor stimuli that target and activate the neurological systems known to play a key role in certain cognitive functions, including attentional control. Akili’s approach aims to improve cognitive impairment and related symptoms through improving neural processing at the functional neurological level. The treatment is delivered through an immersive video game, resulting in non-invasive, patient-friendly medicine that can be used at home.</w:t>
      </w:r>
    </w:p>
    <w:p>
      <w:pPr>
        <w:spacing w:after="0" w:line="187"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By combining high quality neurological and clinical science, and consumer-grade entertainment, Akili is seeking to produce a new type of medical product that can potentially offer safe, effective, scalable and personalized treatments for patients across a range of neuropsychiatric conditions, and allow patients to experience medicine in a new way.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Akili has evaluated its SSME technology across a variety of patient populations, including pediatric and adult ADHD, ASD, MS, MDD, MCI and TBI.</w:t>
      </w:r>
    </w:p>
    <w:p>
      <w:pPr>
        <w:spacing w:after="0" w:line="24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June 2020, Akili announced that the FDA has granted clearance for EndeavorRx as a prescription treatment for improving attention function in children with ADHD. Delivered through a captivating video game experience, EndeavorRx is indicated to improve attention function as measured by computer-based testing in children ages 8-12 years old with primarily inattentive or combined-type ADHD, who have a demonstrated attention issue. Akili expects that the EndeavorRx treatment will be available with a prescription to families soon. The FDA clearance followed the April announcement that ENDEAVOR</w:t>
      </w:r>
      <w:r>
        <w:rPr>
          <w:rFonts w:ascii="Arial" w:cs="Arial" w:eastAsia="Arial" w:hAnsi="Arial"/>
          <w:sz w:val="14"/>
          <w:szCs w:val="14"/>
          <w:color w:val="auto"/>
        </w:rPr>
        <w:t>TM</w:t>
      </w:r>
      <w:r>
        <w:rPr>
          <w:rFonts w:ascii="Arial" w:cs="Arial" w:eastAsia="Arial" w:hAnsi="Arial"/>
          <w:sz w:val="17"/>
          <w:szCs w:val="17"/>
          <w:color w:val="auto"/>
        </w:rPr>
        <w:t xml:space="preserve"> would be available for use for a limited time by children with ADHD and their families in response to new guidance from the FDA recognizing the need for access to certain low-risk clinically-validated digital health devices for psychiatric conditions, including ADHD, during the COVID-19 pandemic. Also in June 2020, Akili announced that it had received approval to market EndeavorRx in Europe. Akili received a CE Mark certification for EndeavorRx as a prescription-only digital therapeutic intended for the treatment of attention and inhibitory control deficits in pediatric patients with ADHD. The CE Mark approval enables the future marketing of EndeavorRx in European Economic Area member countries. With a near-term focus on launching the EndeavorRx prescription treatment in the U.S. first, Akili is exploring expansion opportunities in Europe as part of its global strategy.</w:t>
      </w:r>
    </w:p>
    <w:p>
      <w:pPr>
        <w:spacing w:after="0" w:line="182"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Akili’s EndeavorRx was evaluated in a multi-center, randomized, blinded, controlled pivotal study in 348 pediatric ADHD patients. In this study, AKL-T01 achieved its primary endpoint, showing a statistically significant change in the Attention Performance Index, a composite score of attention from the Test of Variables of Attention, or T.O.V.A.</w:t>
      </w:r>
      <w:r>
        <w:rPr>
          <w:rFonts w:ascii="Arial" w:cs="Arial" w:eastAsia="Arial" w:hAnsi="Arial"/>
          <w:sz w:val="14"/>
          <w:szCs w:val="14"/>
          <w:color w:val="auto"/>
        </w:rPr>
        <w:t>®</w:t>
      </w:r>
      <w:r>
        <w:rPr>
          <w:rFonts w:ascii="Arial" w:cs="Arial" w:eastAsia="Arial" w:hAnsi="Arial"/>
          <w:sz w:val="17"/>
          <w:szCs w:val="17"/>
          <w:color w:val="auto"/>
        </w:rPr>
        <w:t>, compared to an expectancy matched digital control (p=0.006). There were no SAEs or discontinuations. Of participants using EndeavorRx, 9.2 percent experienced TRAEs which were mild and included frustration (2.8 percent) and headache (1.7 percent). Mean patient compliance with AKL-T01 was 83 percent of instructed use. Subjective secondary outcome measures, including the ADHD Rating Scale and the Impairment Rating Scale, showed statistically significant improvements in both the treatment and control groups and there was no statistically significant separation on those measures between groups.</w:t>
      </w:r>
    </w:p>
    <w:p>
      <w:pPr>
        <w:spacing w:after="0" w:line="17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January 2020, Akili announced that a study achieved its primary endpoint evaluating the effects of EndeavorRx in children with ADHD when used with and without stimulant medication. The study achieved its predefined primary efficacy outcome, demonstrating a statistically significant improvement in the ADHD Impairment Rating Scale, or IRS, from baseline after one month of treatment (p&lt;0.001) in both children taking stimulant medications and in those not taking stimulants.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In March 2019, Akili entered into a strategic partnership with Shionogi for the development and commercialization of AKL-T01 and AKL-T02 (in development for children with ASD) in Japan and Taiwan. Under the terms of the agreement, Akili will build and own the platform technology and received upfront payments totaling $20 million with potential milestone payments for Japan and Taiwan commercialization of up to an additional $105 million in addition to royalties. Akili and Shionogi have initiated a clinical study in preparation for a regulatory submission in Japan.</w:t>
      </w:r>
    </w:p>
    <w:p>
      <w:pPr>
        <w:spacing w:after="0" w:line="15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December 2019, Akili presented results from a trial of AKL-T03 as a potential treatment for cognitive impairments adjunct to anti-depressant medication in adults with MDD. In the trial, AKL-T03 demonstrated a statistically significant improvement in sustained attention compared to control. AKL-T03 is designed to improve specific cognitive functions and may play a complementary role to antidepressants in the holistic treatment of MDD.</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Akili is planning to build its own commercial distribution platform for its digital therapeutic products to enable launch in a variety of commercial models. The company is building Akili Care, an integrated system for patient service, data processing, and distribution functions for its initial product launch, to allow flexibility, learning, and iteration as it continues to invest in the delivery of digital therapeutic solutions to the market. Akili’s Shionogi partnership is structured to enable the implementation of this localized platform in Japan. Multiple IRBs have determined AKL-T01 to be a non-significant risk device. Akili has obtained IRB approval independently or in collaboration with independent clinical research institutions for all past and ongoing human data collection for clinical research in the United States. We do not control the clinical or regulatory development of Akili’s product candidates.</w:t>
      </w:r>
    </w:p>
    <w:p>
      <w:pPr>
        <w:spacing w:after="0" w:line="19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do not have a direct interest in Akili’s product or product candidates. Our interest in Akili’s product and product candidates is limited to our equity interest in Akili and any potential appreciation in the value of such equity interest, and we do not control the clinical or regulatory development of Akili’s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Vor Biopharma</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Vor Biopharma, Inc., or Vor, is a cell therapy company that combines a novel patient engineering approach with targeted therapies to provide a single company solution for patients suffering from hematological malignancies. The only way for many of these patients to achieve durable remission or a cure is through hematopoietic stem cell transplant, or HSCT. Despite this, approximately 40 percent of acute myeloid leukemia, or AML, patients relapse following such transplant and face a prognosis with a two-year survival of less than 20 percent. Targeted therapies are an effective treatment for many patients in transplant settings who relapse, though they are limited by toxicities resulting from the expression of the surface targets on healthy cells, including these new transplanted cells, which is referred to as on-target toxicity.</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Vor’s proprietary platform leverages its expertise in hematopoietic stem cell, or HSC, biology and genome engineering to remove surface targets expressed by cancer cells by genetically modifying HSCs. By removing these targets, Vor makes these HSCs and their progeny unrecognizable by targeted therapies and enables these treatments to selectively destroy cancerous cells while sparing healthy cells. As a result, Vor’s engineered HSCs, or eHSCs, are designed to limit the on-target toxicities associated with these targeted therapies, or companion therapeutics, thereby enhancing their utility and broadening their applicability.</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Vor’s platform and expertise allow it to advance its goal of replacing the patient’s HSCs with next-generation, treatment-resistant eHSCs that unlock the potential of highly-potent target therapies.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Vor was incorporated in December 2015. Vor’s initial pipeline of eHSC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168910</wp:posOffset>
            </wp:positionV>
            <wp:extent cx="5031740" cy="1423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3174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Program Discovery Process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We were interested in approaches to treat hematological malignancies that currently have poor response rates or poor adverse event profiles despite recent advances in cell therapies and targeted therapies. We engaged leading hematological cancer specialists and we became aware of work from the laboratory of Vor Scientific Board chair Siddhartha Mukherjee, M.D., Ph.D., assistant professor of Medicine at Columbia University and Pulitzer Prize-winning author of </w:t>
      </w:r>
      <w:r>
        <w:rPr>
          <w:rFonts w:ascii="Arial" w:cs="Arial" w:eastAsia="Arial" w:hAnsi="Arial"/>
          <w:sz w:val="17"/>
          <w:szCs w:val="17"/>
          <w:i w:val="1"/>
          <w:iCs w:val="1"/>
          <w:color w:val="auto"/>
        </w:rPr>
        <w:t>The Emperor of All Maladies</w:t>
      </w:r>
      <w:r>
        <w:rPr>
          <w:rFonts w:ascii="Arial" w:cs="Arial" w:eastAsia="Arial" w:hAnsi="Arial"/>
          <w:sz w:val="17"/>
          <w:szCs w:val="17"/>
          <w:color w:val="auto"/>
        </w:rPr>
        <w:t xml:space="preserve">: </w:t>
      </w:r>
      <w:r>
        <w:rPr>
          <w:rFonts w:ascii="Arial" w:cs="Arial" w:eastAsia="Arial" w:hAnsi="Arial"/>
          <w:sz w:val="17"/>
          <w:szCs w:val="17"/>
          <w:i w:val="1"/>
          <w:iCs w:val="1"/>
          <w:color w:val="auto"/>
        </w:rPr>
        <w:t>A Biography of Cancer.</w:t>
      </w:r>
      <w:r>
        <w:rPr>
          <w:rFonts w:ascii="Arial" w:cs="Arial" w:eastAsia="Arial" w:hAnsi="Arial"/>
          <w:sz w:val="17"/>
          <w:szCs w:val="17"/>
          <w:color w:val="auto"/>
        </w:rPr>
        <w:t xml:space="preserve"> Dr. Mukherjee pioneered the idea of genetically engineering stem cells to eliminate a particular target such that healthy stem cells and progeny cells would be spared from targeted cancer therapy. We worked with Dr. Mukherjee on this IP, which Vor exclusively in-licensed from Columbia in April 2016, and on advancing this concept through critical POC experiments. With our support, Vor secured additional intellectual property rights (both in-licensed from Columbia and owned by Vor), assembled an excellent research team and completed a round of fundraising.</w:t>
      </w:r>
    </w:p>
    <w:p>
      <w:pPr>
        <w:spacing w:after="0" w:line="17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July 2019, Bill Lundberg, M.D., was appointed to Vor’s board of directors. In August 2019, Robert Ang, MBBS, MBA, was appointed president and chief executive officer of Vor. In May 2020, Vor announced the appointment of Nathan Jorgensen, Ph.D., as chief financial officer, in July 2020, Vor announced the closing of a $110M Series B financing and the appointments of Daniella Beckman and David Lubner to its board of directors and Christopher Slapak, M.D., as chief medical officer, in August 2020, Vor announced the appointment of John King as chief commercial officer, and in October 2020 Vor announced the appointment of Matthew Patterson to its board of directors.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Patient Need and Market Potential</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prognosis for relapsed and refractory blood-borne malignancies is very poor and can be measured in a few months, depending on patient-specific risk factors. For example, for acute myeloid leukemia, or AML, which affects approximately 60,000 patients at any one time in the United States, only about 30 percent of patients with active disease following a bone marrow transplant survive past 12 months.</w:t>
      </w:r>
    </w:p>
    <w:p>
      <w:pPr>
        <w:spacing w:after="0" w:line="165"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Targeted therapies, such as CAR-T cells and bispecific antibodies, antibody-drug conjugates, and conventional mAbs, have shown excellent clinical activity, particularly in patients with certain hematologic malignancies expressing B cell markers. However, these targeted therapies frequently target both cancer and normal cells, causing substantial toxicities and limiting their potential. There is a need for new strategies that can enable selectively targeting cancer cells with limited impact on a patient’s normal cells.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Status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VOR33 is Vor’s eHSC product candidate designed to transform the standard of care in AML and potentially other myeloid malignancies. To create VOR33, Vor genetically modifies donor HSCs in order to remove the CD33 surface target that is highly expressed in most AML cells. In preclinical studies, Vor observed that the removal of CD33 had no deleterious effects on the differentiation or function of hematopoietic cells, but it did render these healthy cells unrecognizable by CD33-directed therapies, thereby providing robust protection from these therapies’ cytotoxic effects. Vor intends to develop VOR33 as an HSC transplant product candidate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replace the standard of care in transplant settings. Once the VOR33 cells have engrafted, patients can potentially be treated with anti-CD33 therapies, such as Mylotarg or a CAR-T therapy product candidate, with limited on-target toxicity. The combination of VOR33 and CD33-directed therapies has the potential to lead to durable antitumor activity. Leveraging its proprietary platform, Vor has identified additional surface targets as well as multiple genome engineering approaches. Additionally, Vor is conducting ongoing discovery efforts on undisclosed targets for non-myeloid malignancies. We do not control the clinical or regulatory development of Vor’s product candidates.</w:t>
      </w:r>
    </w:p>
    <w:p>
      <w:pPr>
        <w:spacing w:after="0" w:line="176" w:lineRule="exact"/>
        <w:rPr>
          <w:sz w:val="20"/>
          <w:szCs w:val="20"/>
          <w:color w:val="auto"/>
        </w:rPr>
      </w:pPr>
    </w:p>
    <w:p>
      <w:pPr>
        <w:jc w:val="both"/>
        <w:ind w:left="120" w:right="520"/>
        <w:spacing w:after="0" w:line="342" w:lineRule="auto"/>
        <w:rPr>
          <w:sz w:val="20"/>
          <w:szCs w:val="20"/>
          <w:color w:val="auto"/>
        </w:rPr>
      </w:pPr>
      <w:r>
        <w:rPr>
          <w:rFonts w:ascii="Arial" w:cs="Arial" w:eastAsia="Arial" w:hAnsi="Arial"/>
          <w:sz w:val="16"/>
          <w:szCs w:val="16"/>
          <w:color w:val="auto"/>
        </w:rPr>
        <w:t>We do not have a direct interest in Vor’s product candidate. Our interest in Vor’s product candidate is limited to our equity interest in Vor and any potential appreciation in the value of such equity interest and we do not control the clinical or regulatory development of Vor’s product candidate.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source most of our nonclinical and clinical compound supply through third-party contract manufacturing organizations, or CMOs.</w:t>
      </w:r>
    </w:p>
    <w:p>
      <w:pPr>
        <w:spacing w:after="0" w:line="23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For clinical supply, we use CMOs who act in accordance with the FDA’s GLP and current good manufacturing practices, cGMP, for the manufacture of drug substance and product. Manufacturing of any product candidate is subject to extensive regulations that impose various procedural and documentation requirements, which govern recordkeeping, manufacturing processes and controls, personnel, quality control and quality assurance, among others. We expect that all of our contract manufacturing organizations will manufacture our Wholly Owned product candidates under current Good Manufacturing Practice, or cGMP, conditions. cGMP is a regulatory standard for the production of pharmaceuticals to be used in humans.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believe there are multiple sources for all of the non-proprietary materials required for the manufacture of our internal product candidates. Our manufacturing strategy enables us to more efficiently direct financial resources to the research, development, and potential commercialization of product candidates rather than diverting resources to internally develop manufacturing facilities. As our Wholly Owned product candidates advance through development, we expect to enter into longer-term commercial supply agreements with key suppliers and manufacturers to fulfill and secure the ongoing and planned preclinical, clinical, and, if our Wholly Owned product candidates are approved for marketing, our commercial supply needs for ourselves and our collaborators.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Founded Entities independently manufacture or contract to manufacture their products and product candidates.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do not have our own marketing, sales or distribution capabilities. In order to commercialize our Wholly Owned product candidates if approved for commercial sale, we must either develop a sales and marketing infrastructure or collaborate with third parties that have sales and marketing experience. We plan to directly commercialize our Wholly Owned product candidates in the United States and for some indications, we may also directly commercialize our Wholly Owned product candidates in the European Union. In other markets or for certain indications outside the United States for which commercialization may be less capital efficient for us, we may selectively pursue strategic collaborations with third parties in order to maximize the commercial potential of our Wholly Owned product candidates.</w:t>
      </w:r>
    </w:p>
    <w:p>
      <w:pPr>
        <w:spacing w:after="0" w:line="19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As our Founded Entities begin to commercialize product candidates approved for commercial sale, they will independently develop a sales and marketing infrastructure or enter into collaborations with third parties to do so.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not have control over or direct the sales and marketing efforts of our Founded Entities. As of the date of this registration statement, only one of our Founded Entities, Gelesis, has a product cleared by the FDA and all sales and marketing efforts related to Gelesis’ planned U.S. launch of Plenity will be undertaken by Gelesis.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pursuing and maintaining patent protection intended to cover novel platform technologies relating to our Wholly Owned Programs, our corresponding product candidates and their methods of use, as well as other technologies that are important to our business. In addition to patent protection, we also rely on trade secrets to protect aspects of our business for which we do not consider patent protection appropriate. The intellectual property covering the technologies, products and product candidates for the programs involving our Founded Entities are handled directly by our respective Founded Entities and we are not actively involved in the management of Founded Entity intellectual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acquired LYT-100 and all of the associated IP rights thereof, from Auspex. We are also obligated to make payments to Auspex in connection with certain development, regulatory and sales milestones and pay royalties on sales of the product upon commercialization. We plan to advance LYT-100 for the treatment of various lymphatic disorders, including lymphedema.</w:t>
      </w:r>
    </w:p>
    <w:p>
      <w:pPr>
        <w:spacing w:after="0" w:line="18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As of June 30, 2020, the LYT-100 patent portfolio includes 31 active patents acquired, and one patent application licensed from Auspex. These patents and application provide broad coverage of compositions of matter, formulations and methods of use for deuterated pirfenidone, including the LYT-100 deupirfenidone compound, comprising six issued U.S. patents, which are expected to expire in 2028, one U.S. patent application which if issued, is expected to expire in 2035, and 25 patents issued in 23 foreign jurisdictions, without taking into account any possible patent term extension or regulatory exclusivities. In addition, we have filed additional patent applications on deupirfenidone, including 14 pending U.S. patent applications and one international PCT application directed to the use of deuterated pirfenidone, including LYT-100 deupirfenidone, for the treatment of a range of conditions involving inflammation and fibrosis and disorders of lymphatic flow of lymphedema and other relevant disorders. Any issued patents claiming priority to these applications are expected to expire in 2039 through 2041, exclusive of possible patent term adjustments or extensions or other exclusivities.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LYT-200 and LYT-210</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LYT-200 is an investigational fully human mAb targeting galectin-9, a global immunosuppressor that facilitates a tumor-permissive microenvironment, for use in the treatment of solid tumors and other cancers. LYT-210 is an investigational fully human mAb targeting gd T cells.</w:t>
      </w:r>
    </w:p>
    <w:p>
      <w:pPr>
        <w:spacing w:after="0" w:line="14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broad intellectual property coverage for these antibody-based immunotherapy technologies, including exclusive rights to nine families of patent filings that are exclusively licensed from or co-owned with New York University which cover antibodies that target immunosuppressive agents and mechanisms and methods of use for the treatment of solid tumors, such as pancreatic cancer, CRC, melanoma, gastric cancer, breast cancer and various other cancers, and one family of patent filings that cover antibodies directed to pro-inflammatory gdT cells for use in the treatment of inflammatory conditions, such as autoimmune disorders, for example, IBD, ulcerative colitis, Crohn’s disease and celiac disease, among others.</w:t>
      </w:r>
    </w:p>
    <w:p>
      <w:pPr>
        <w:spacing w:after="0" w:line="16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We exclusively licensed and co-own a patent portfolio of ten patent families from New York University. As of June 30, 2020, there are five families of intellectual property within this patent portfolio covering compositions of matter and methods of use for antibodies targeting galectin-9, including LYT-200, which in total comprise two issued U.S. patents which are expected to expire in 2038, seven pending U.S. patent applications, which if issued,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are expected to expire 2037-2040, three international PCT applications, and 12 pending applications in foreign jurisdictions. There are two families covering compositions of matter and methods of use for antibodies targeting gdT cells, including LYT-210, which are directed to the use of these antibodies for the treatment of cancer and pro-inflammatory and autoimmune disorders, which in total comprise one granted U.S. patent, one pending U.S. patent application and two international PCT applications. In addition, there are two additional families of intellectual property covering compositions of matter and methods of use for related IO technologies, which in total comprise six patent applications in U.S. and foreign jurisdictions. Our issued patents and any patents issuing from pending applications with respect to LYT-200 are expected to expire in between 2038 and 2040, any patents issuing from pending applications with respect to LYT-210 are expected to expire in between 2039 and 2040, and our additional families of pending applications are expected to expire in 2037, all of which expiration dates are exclusive of possible patent term adjustments or extensions or other periods of exclusivity.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Oral Biotherapeutics Program</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broad intellectual property coverage for our Orasome technology platform. Our Orasome technology platform IP portfolio covers compositions of matter, methods of use and methods of treatment spanning various platform-based technologies, as well as various broad classes of Orasome-formulated therapeutics, which include nucleic acid-based therapeutics (such as messenger RNA, short interfering RNA and antisense oligonucleotide-based approaches), small molecules, biologics (such as peptides, proteins and antibodies), expression systems for biologics and other therapeutics for use in the treatment of a wide range of diseases and disorders, including various immunological disorders, such as cancers and inflammatory diseases. In addition, we licensed patents and patent application on certain milk exosome technology of oral administration of biotherapeutics.</w:t>
      </w:r>
    </w:p>
    <w:p>
      <w:pPr>
        <w:spacing w:after="0" w:line="16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As of June 30, 2020, our Orasome technology platform patent portfolio consists of ten U.S. and five foreign patent applications and one pending international PCT application in seven patent families. Any patents to issue from the patent applications are expected to expire in 2037 through 2041, exclusive of possible patent term adjustments or extensions or other forms of exclusivity. We exclusively licensed a patent portfolio consisting of two patent families from 3P Biotechnologies, Inc., based on certain milk exosome technology originating from the University of Louisville. In addition, we exclusively licensed a patent portfolio consisting of two patent families from NuTech Ventures, based on certain milk exosome technology originating from the University of Nebraska.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Glyph Technology Platform</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have broad intellectual property coverage for our proprietary Glyph technology platform, which includes exclusively licensed and co-owned patent applications, as well as company-owned patent applications. These patent applications cover compositions of matter, methods of use and methods of treatment encompassing specific chemical modifications, including a wide range of novel linker chemistries, as well as various classes of lymphatic targeting therapeutics, which include prodrugs for a large number of APIs, for use in the treatment of a wide range of diseases and disorders. The most advanced of these is LYT-300, which is an oral form of FDA-approved allopregnanolone, a natural neurosteroid, that may be applicable to a range of neurological conditions.</w:t>
      </w:r>
    </w:p>
    <w:p>
      <w:pPr>
        <w:spacing w:after="0" w:line="19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 of June 30, 2020, our Glyph technology platform IP portfolio consists of 19 patent families comprising 19 U.S. patent applications, four international PCT applications and 14 foreign patent applications. Of these, company-owned IP consists of 12 U.S. patent applications in nine patent families. We exclusively licensed and co-own a patent portfolio of 10 patent families comprising 20 U.S. and foreign patent applications and four international PCT applications from Monash University. Of these patent applications, LYT-300 is covered by two patent families comprising one international PCT application and two U.S. patent applications, all of which are co-owned with Monash University. Any patents to issue from the in-licensed patent applications are expected to expire in 2035-2036 and any issued patents from the co-owned and company-owned patent applications are expected to expire in 2038-2041, exclusive of possible patent term adjustments or extensions or other forms of exclusivity.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Meningeal Lymphatics Discovery Research Program</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have broad intellectual property coverage around our meningeal lymphatics discovery research program, which includes exclusively licensed patent applications covering compositions of matter, methods of use and methods of treatment encompassing its platform-based brain lymphatic technologies, including the identification of macromolecular targets, as well as various classes of brain lymphatic targeting therapeutics for use in the treatment of a wide range of neurodegenerative and neuroinflammatory conditions, as well as various neuropathies and cancers.</w:t>
      </w:r>
    </w:p>
    <w:p>
      <w:pPr>
        <w:spacing w:after="0" w:line="17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As of June 30, 2020, our meningeal lymphatics discovery research program patent portfolio consists of eight patent families comprising eight U.S. patent applications, two international PCT applications and five foreign patent applications exclusively licensed from the University of Virginia Licensing &amp; Ventures Group, and one family of one U.S. application exclusively owned by PureTech. Any patents to issue from the in-licensed patent applications are expected to expire in 2037 through 2041, exclusive of possible patent term adjustments or extensions or other forms of exclusivity.</w:t>
      </w:r>
    </w:p>
    <w:p>
      <w:pPr>
        <w:spacing w:after="0" w:line="157"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Our commercial success depends in part upon our ability to obtain and maintain patent and other proprietary protection for commercially important technologies, inventions and know-how related to our business, defend and enforce our intellectual property rights, particularly our patent rights, preserve the confidentiality of our trade secrets and operate without infringing valid and enforceable intellectual property rights of others.</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patent positions for biotechnology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technologies and product candidates will be protectable or remain protected by valid and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Founded Entities’ Intellectual Property Overview</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Founded Entities, other than Alivio and Entrega, maintain their own intellectual property portfolios and manage their intellectual property strategy. The ownership percentages for each of our Founded Entities noted below, other than Karuna, are calculated on a diluted (as opposed to voting) basis, including outstanding shares, options and warrants, but excluding unallocated shares authorized to be issued pursuant to equity incentive plans. Karuna ownership is shown on an outstanding share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Gelesis</w:t>
      </w:r>
    </w:p>
    <w:p>
      <w:pPr>
        <w:spacing w:after="0" w:line="117"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As of June 30, 2020, Gelesis’ platform has broad intellectual property coverage worldwide, including over 120 patents and patent applications in 11 families, several of which are issued in the United States and numerous foreign jurisdictions, including the EU, Canada, Japan, Russia and South Korea. The filings cover pharmaceutical composition of matter, methods of use, and methods of making polymer hydrogels for use in weight management and glycemic control, as well as predicting weight loss and treating obesity, chronic constipation, NASH, NAFLD, and IBD. Gelesis’ issued patent and any patents issuing from pending applications are expected to expire in 2027 through 2038, exclusive of possible patent term adjustments or extensions or other forms of exclusivity.</w:t>
      </w:r>
    </w:p>
    <w:p>
      <w:pPr>
        <w:spacing w:after="0" w:line="192"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own 21.0 percent of Gelesis as of June 30, 2020. Our board designees represent a minority of the members of the board of directors of Gelesis and we are not responsible for the development or commercialization of its product candidates. We have an interest in Gelesis’ product candidates through our equity investment as well as our right to royalty payments as a percentage of net sales pursuant to a license agreement between us and Gelesis. Gelesis maintains its own intellectual property portfolio and manages its intellectual property strategy.</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Karuna</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Karuna has broad intellectual property coverage worldwide, including, according to Karuna’s annual report on Form 10-K filed on March 24, 2020, two issued U.S. patents directed to an oral medicament comprising certain doses of xanomeline and/or the salt thereof in combination with certain doses of trospium chloride and two issued U.S. patents directed to methods for treating central nervous system disorders using combinations of certain oral doses of xanomeline and/or the salt thereof and certain oral doses of trospium chloride. They also have one issued patent in Canada and one in Europe, with other patent applications pending in the U.S., Europe, Hong Kong and Japan.</w:t>
      </w:r>
    </w:p>
    <w:p>
      <w:pPr>
        <w:spacing w:after="0" w:line="176"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own 12.8 percent of Karuna as of August 26, 2020 on an outstanding voting share basis. We do not have any board designees on Karuna’s board of directors and we are not responsible for the development or commercialization of its product candidate. We have an interest in Karuna’s product candidates through our equity investment as well as our right to royalty payments as a percentage of net sales pursuant to a license agreement between us and Karuna. Karuna maintains its own intellectual property portfolio and manages its intellectual property strategy.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Follica</w:t>
      </w:r>
    </w:p>
    <w:p>
      <w:pPr>
        <w:spacing w:after="0" w:line="11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As of June 30, 2020, Follica’s regenerative biology program has broad worldwide intellectual property coverage, including over 16 pending patent applications, and over 49 issued patents (of which 32 are design patents), in 10 families of patent filings, which are company-owned or exclusively licensed. The intellectual property covers composition of matter and methods of treatment including combination therapies employing disruption approaches and active agents, as well as devices to promote hair follicle regeneration.</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own 78.3 percent of Follica as of June 30, 2020 and continue to play a role in the development of its product candidates through our majority representation on its board of directors. We also have an interest in Follica’s product candidates through our right to royalty payments as a percentage of net sales pursuant to a royalty agreement between us and Follica. Follica maintains its own intellectual property portfolio and manages its intellectual property strategy.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Vedanta</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June 30, 2020, Vedanta has broad intellectual property coverage worldwide, currently owning or having rights to more than 140 patent applications and issued patents in over 22 families of patent filings. Vedanta’s IP estate positions the company as a leader in the microbiome field. Vedanta’s IP portfolio includes patents covering compositions and therapeutic uses of products containing microbiome bacteria belonging to Clostridium clusters IV and XIVa, which are among the most abundant colonizers of the human intestine and play an important role in human health, including regulating inflammatory responses and other immune responses. The IP estate includes issued patents in the major pharmaceutical markets, including the United States, Europe and Japan. These patents provide coverage through at least 2031, with priority filing dates as early as 2010.</w:t>
      </w:r>
    </w:p>
    <w:p>
      <w:pPr>
        <w:spacing w:after="0" w:line="164"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We own 50.4 percent of Vedanta as of June 30, 2020 and continue to play a role in the development of its product candidates through our majority representation on its board of directors. Vedanta maintains its own intellectual property portfolio and manages its intellectual property strategy.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Sonde</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of June 30, 2020, Sonde has broad intellectual property coverage worldwide, currently owning or having exclusive rights to eight patent applications and 10 issued patents in five families of patent filings. Sonde has filed several patent applications covering a number of facets of its technology in addition to the IP that was licensed from MIT. Sonde’s issued patent and any patents issuing from pending applications are expected to expire in 2031 through 2037, exclusive of possible patent term adjustments or extensions or other forms of exclusivity.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We own 45.8 percent of Sonde as of June 30, 2020 and continue to play a role in the development of its product candidates through our representation on its board of directors. Sonde maintains its own intellectual property portfolio and manages its intellectual property strategy.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Alivio</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As of June 30, 2020, Alivio has broad intellectual property coverage in multiple countries, currently owning or having exclusive rights to 24 patent applications and six issued patents in nine families of patent filings. Alivio’s IP estate covers composition of matter, novel formulations, and methods of using nanostructured gels for the delivery of therapeutic agents. Alivio’s issued patent and any patents issuing from pending applications are expected to expire in 2036 through 2039, exclusive of possible patent term adjustments or extensions or other forms of exclusivity.</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own 78.6 percent of Alivio as of June 30, 2020 and continue to play a role in the development of its product candidates. The management team of Alivio consists of PureTech employees, and a majority of the board of directors are PureTech designees. These PureTech employees actively manage the day-to-day business activities of Alivio and, together with the board of directors of Alivio, which is controlled by PureTech, direct the strategy and decision making in connection with the clinical and regulatory development of Alivio’s product candidates. We maintain Alivio’s intellectual property portfolio and manage its intellectual property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Entrega</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of June 30, 2020, Entrega has broad intellectual property coverage worldwide, including 10 patent applications in six families of patent filings. Entrega’s patent portfolio covers oral drug devices, drug formulations, compositions of matter, methods of use and methods of making hydrogel dosage forms for delivery of active agents. Any patents issuing from pending applications are expected to expire in 2033 through 2039, exclusive of possible patent term adjustments or extensions or other forms of exclusivity.</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own 72.9 percent of Entrega as of June 30, 2020 and continue to play a role in the development of its product candidates. The management team of Entrega consists of PureTech employees, and a majority of the board of directors are PureTech designees. These PureTech employees actively manage the day-to-day business activities of Entrega and, together with the board of directors of Entrega, which is controlled by PureTech, direct the strategy and decision making in connection with the clinical and regulatory development of Entrega’s product candidates. We maintain Entrega’s intellectual property portfolio and manage its intellectual property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Akili</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of June 30, 2020, Akili’s IP portfolio covers digital intervention that targets interference processing through a proprietary mechanism with adaptive algorithms to improve cognitive function and related symptoms associated with neurological and psychiatric conditions. The IP estate also covers novel adaptive algorithms and reward structures invented by Akili to apply to various neural targeting algorithms. Akili owns or has exclusive rights to nine issued or granted patents and is actively pursuing additional patent applications worldwide.</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own 34.0 percent of Akili as of June 30, 2020. We do not have a direct interest in Akili’s product candidates. Our interest in Akili’s product candidates is limited to our equity investment in Akili and we do not control the clinical or regulatory development of Akili’s product candidates. Akili maintains its own intellectual property portfolio and manages its intellectual property strategy.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Vor</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June 30, 2020, Vor is pursuing broad intellectual property coverage worldwide to protect Vor’s proprietary platform technology and product candidates, such as VOR33, with pending and granted claims to compositions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of matter, methods of use, related technologies, diagnostics and other complimentary inventions. Vor’s worldwide IP portfolio includes over 40 patent applications in eight families, including three issued U.S. patents. Vor’s portfolio includes patents licensed exclusively from Columbia University as well as patents owned by Vor.</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own 11.8 percent of Vor as of June 30, 2020, assuming all future tranches of the most recent financing round are funded. We do not have a direct interest in Vor’s product candidate. Our interest in Vor’s product candidate is limited to our equity investment in Vor, and we do not control the clinical or regulatory development of Vor’s product candidate. Vor maintains its own intellectual property portfolio and manages its intellectual property strategy.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Wholly Owned Programs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We have a disciplined strategy to advance our Wholly Owned Programs and technologies through a combination of internal funding and non-dilutive funding from external collaborations, such as with other biopharmaceutical companies and grant funding organizations. Given the breadth of applications envisioned from our internal platform technologies, we have a strategy to maximize the value of our Wholly Owned Programs through partnerships with other biopharmaceutical companies, that also serves to not only advance these technologies but also provide important external validation for our technologies. In April 2019, we entered into a collaboration and license agreement with Boehringer Ingelheim, or BI, to evaluate the feasibility of applying our Glyph technology platform to advance certain of BI’s immuno-oncology product candidates. Our proposed approach harnesses the gut’s lipid transport mechanisms to enable oral administration and transport of drug candidates directly through the gut-draining lymphatic vasculature, also bypassing first pass metabolism in the liver. We plan to continue to partner with other biopharmaceutical companies to develop product candidates that we believe have promising utility in disease areas or patient populations that are better served by resources of larger biopharmaceutical companies.</w:t>
      </w:r>
    </w:p>
    <w:p>
      <w:pPr>
        <w:spacing w:after="0" w:line="19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Another example of this strategy is the Research and License Agreement that we entered into with New York University, or NYU, on March 6, 2017, pursuant to which NYU granted to us an exclusive worldwide license to patents relating to LYT-200 and LYT-210. In connection with this agreement, we are required to pay an annual license fee in addition to milestone payments upon the achievement of certain clinical and commercial milestones, both of which we deem immaterial. Additionally, for the term of this agreement, we are obligated to make low single digit royalty payments on the net sales of any commercialized product covered by the license granted under the agreement. In the event that we sublicense any of the patent rights granted under the Research and License Agreement, we will be obligated to pay NYU a low teen percentage of any royalties received by such sublicensee, provided that such payments are capped at a low single digit of net sales of any commercialized product by such sublicensee.</w:t>
      </w:r>
    </w:p>
    <w:p>
      <w:pPr>
        <w:spacing w:after="0" w:line="166"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have also entered into exclusive license agreements with each of Monash University, University of Louisville, Memorial Sloan Kettering Cancer Center and University of Virginia, pursuant to which we have in-licensed certain early stage technology for our Wholly Owned Programs Pursuant to these agreements, the universities are entitled to non-material payments upon the achievement of certain specified development and sales based milestones. Additionally, the universities are entitled to low single digit royalty payments on net sales of any products covered by their intellectual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Founded Entities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Gelesis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entered into a Royalty and Sublicense Income Agreement with Gelesis, dated December 18, 2009, pursuant to which we are required to provide certain funding, management services and intellectual property relating to intellectual property. In exchange, Gelesis is required to pay us a royalty equal to 2 percent of all net product sales and 10 percent of gross sublicense income received on certain food products as a result of developing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hydrogel-based products that are covered by a licensed patent that has issued and has not been revoked or abandoned. The royalty rate is subject to customary downward adjustments in the event Gelesis is required to pay third parties to obtain a license to intellectual property rights that are necessary for Gelesis to develop or commercialize our products. There are no milestone payment obligations under this agreement. Management services provided by us include advisory services on corporate strategy, general and administrative support including office space, supplies and administrative support, payroll services and website development and support. Gelesis’ obligation to pay royalties to us will terminate on a country-by-country basis upon termination or expiration of the underlying patents. To date, we have not received any royalty payments pursuant to this agreement. We do not direct or control the development and commercialization of the intellectual property sublicensed pursuant to this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Karuna</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entered into an Exclusive Patent License Agreement with Karuna, dated March 4, 2011, pursuant to which we granted Karuna an exclusive license to patent rights relating to combinations of a muscarinic activator with a muscarinic inhibitor for the treatment of central nervous system disorders. Karuna agreed to make milestone payments to us of up to an aggregate of $10 million upon the achievement of specified development and regulatory milestones. In addition, for the term of this agreement Karuna is obligated to pay us low single-digit running royalties on the worldwide net sales of any commercialized product covered by the licenses granted under this agreement. In the event that Karuna sublicenses any of the patent rights granted under this agreement, Karuna will be obligated to pay us royalties within the range of 15 percent to 25 percent on any income received from the sublicensee, excluding royalties. Karuna may terminate this agreement for any reason with proper prior notice to us, provided that it would lose its rights to the underlying patents as a result. Either party may terminate this agreement upon an uncured material breach by the other party. To date, we have not received any royalty payments pursuant to this agreement. We do not direct or control the development and commercialization of the intellectual property licensed pursuant to this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Follica</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entered into a Royalty Agreement with Follica, dated July 23, 2013, pursuant to which Follica agreed to pay us a two percent royalty on net sales by Follica or its sublicensees of (i) products involving skin disruption using any mechanical, energy or chemical based approaches, applying compounds to the skin, or any other approaches to the treatment of hair follicles or other dermatological disorders commercialized by Follica. (ii) processes involving such products, or (iii) services which use or incorporate any such product or process. In the event that Follica sublicenses the rights to any of these products, processes or services, Follica will be obligated to pay us low teen royalties on any income received from the sublicensee. Either party may terminate this agreement upon an uncured material breach by the other party. To date, we have not received any royalty payments pursuant to this agreement. We do not direct or control the development and commercialization of the intellectual property licensed pursuant to this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biotechnology and pharmaceutical industries utilize rapidly advancing technologies and are characterized by intense competition. There is also a strong emphasis on intellectual property and proprietary products. We believe that expertise and capabilities across the BIG therapeutic areas, technology, drug discovery and development provide us with a competitive advantage. However, we will continue to face competition from different sources including major pharmaceutical companies, biotechnology companies, academic institutions, government agencies, and public and private research institutions. In addition, there are companies that are working on potential medicines targeting the Brain-Immune-Gut and many companies that have approved therapeutics for some of our target indications. For any products that we eventually commercialize, we will not only compete with existing therapies but also compete with new therapies that may become available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In addition to the competition we will face from the parties described above, we face competition for certain of the product candidates we are developing internally.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LYT-100</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are aware of one current drug product candidate in development for secondary lymphedema. Herantis Pharma is developing Lymfactin, an adenoviral VEGF-C gene therapy used alongside lymph node transfer surgery to treat lymphedema.</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other current treatments for lymphedema include durable medical goods, such as compression sleeves and garments, and surgical options, including liposuction and debulking. A novel investigational surgery, lymph node transfer, is also being tested.</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the field of IPF, there are two approved drugs, pirfenidone (Esbriet), marketed by Roche, and nintedanib (Ofev), marketed by Boehringer Ingelheim. These drugs have unfavorable tolerability profiles, leading to sustained unmet need for novel therapies. Other potential competitive product candidates in various stages of development include, but are not limited to, Galapagos NV’s GLPS1690 in Phase 3 clinical trials, Fibrogen’s pamrevlumab in Phase 3 clinical trials, Roche/Promedior, Inc.’s PRM-151 which is expected to enter a Phase 3 trial in the second half of 2020, Liminal BioSciences’ PBI-4050 is in Phase 2 clinical development, Pliant Therapeutics’ PLN-74809 in Phase 2 clinical development, Kadmon Holding, Inc.’s KD025 in Phase 2 clinical development, BMS’ BMS-986278 in Phase 2 clinical development, BMS/Celgene’s CC-90001 in Phase 2 clinical development, Galecto’s GB0139 in Phase 2 clinical development, Blade Therapeutics’s BLD-2660 in Phase 1 clinical development and Avalyn’s AP01 in Phase 1 clinical development.</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field of COVID-19, there are numerous clinical trials for prevention of COVID-19 using vaccines, or for acute treatment of COVID-19 using anti-viral and anti-inflammatory agents. However, we are only aware of investigator sponsored trials that have been undertaken with pirfenidone and nintedanib for respiratory complications following COVID-19 infection.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LYT-200</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Although we are not aware of any direct competitors targeting galectin-9, if we are successful in developing LYT-200 as an immuno-oncology treatment we would expect to compete with currently approved IO therapies and those that may be developed in the future. Current marketed IO products include CTLA-4, such as BMS’ Yervoy, and PD-1/PD-L1, such as BMS’ Opdivo, Merck’s Keytruda and Genentech’s Tecentriq, and T cell-engager immunotherapies, such as Amgen’s Blincyto.</w:t>
      </w: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LYT-210</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To the best of our knowledge, there are no competitors in the space of immunosuppressive gd T cells. However, Gamma Delta Therapeutics, Gadeta, TC Biopharm, Adicet Bio are developing gd T cell based therapies at various stages of development. Lava Therapeutics is developing gd T cells engaging antibodies and ImCheck is developing antibodies to target affecting gd T cell expansion in tissues.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LYT-300</w:t>
      </w:r>
    </w:p>
    <w:p>
      <w:pPr>
        <w:spacing w:after="0" w:line="117"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In the field of GABA</w:t>
      </w:r>
      <w:r>
        <w:rPr>
          <w:rFonts w:ascii="Arial" w:cs="Arial" w:eastAsia="Arial" w:hAnsi="Arial"/>
          <w:sz w:val="13"/>
          <w:szCs w:val="13"/>
          <w:color w:val="auto"/>
        </w:rPr>
        <w:t>A</w:t>
      </w:r>
      <w:r>
        <w:rPr>
          <w:rFonts w:ascii="Arial" w:cs="Arial" w:eastAsia="Arial" w:hAnsi="Arial"/>
          <w:sz w:val="16"/>
          <w:szCs w:val="16"/>
          <w:color w:val="auto"/>
        </w:rPr>
        <w:t xml:space="preserve"> positive allosteric modulators, there is one approved drug, allopregnanolone (Zulresso), marketed by Sage Therapeutics. This drug is administered via a 60 hour IV infusion, leading to sustained unmet need for novel therapies. Other potential competitive product candidates in various stages of development include, but are not limited to, Sage Therapeutics’s SAGE-2017 (Zuranolone) in Phase 3 clinical development,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Marinus Pharmaceuticals’s Ganaxolone in Phase 3 clinical development and Praxis’s PRAX-114 in Phase 2 clinical development.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Programs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are not aware of any direct competitors to our Glyph, Orasome and meningeal lymphatics platforms, but they may compete with new therapies that become available in the future to target the indications we are focused on. There are several exosome programs being developed but to the best of our knowledge none of them are targeting oral delivery or using milk, thus differentiating our approach. Competitors developing exosomes or engineered exosomes to deliver payloads include Inc AstraZeneca plc, Capricor Therapeutics, Evox Therapeutics Ltd, ArunA Biomedical Inc, ExoCoBio Inc, Codiak Biosciences, Inc. and Exopharm Ltd.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drugs, biological products and medical devices.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 of Drug and Biological Products</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and biologics under the FDCA and the Public Health Service Act, or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 Any agency or judicial enforcement action could have a material adverse effect on our business, the market acceptance of our products and our reputation.</w:t>
      </w:r>
    </w:p>
    <w:p>
      <w:pPr>
        <w:spacing w:after="0" w:line="16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Product candidates must be approved by the FDA through either a new drug application, or NDA, or a biologics license application, or BLA, process before they may be legally marketed in the United States. The process generally involves the following:</w:t>
      </w:r>
    </w:p>
    <w:p>
      <w:pPr>
        <w:spacing w:after="0" w:line="76" w:lineRule="exact"/>
        <w:rPr>
          <w:sz w:val="20"/>
          <w:szCs w:val="20"/>
          <w:color w:val="auto"/>
        </w:rPr>
      </w:pPr>
    </w:p>
    <w:p>
      <w:pPr>
        <w:ind w:left="1080" w:right="5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completion of nonclinical, or preclinical, laboratory tests, animal studies and formulation studies in compliance with the FDA’s GLP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application, or IND, which must take effect before human clinical trials may begin;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approval by an independent IRB representing each clinical site before each clinical trial may be initiated at that site;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product for each indication;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preparation and submission to the FDA of an NDA or BLA, and payment of user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substantive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70"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potential FDA audits of clinical trial sites to assure compliance with GCPs and the integrity of the clinical data;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or biologic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The conduct of preclinical studies is subject to federal and state regulations and requirements, including GLP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 IND is an exemption from the FDCA that allows an unapproved drug or biological product to be shipped in interstate commerce for use in an investigational clinical trial and a request for FDA authorization to administer such investigational drug or biological product to humans. Such authorization must be secured prior to interstate shipment and administration of the investigational drug or biological product.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Some long-term preclinical testing, such as animal tests of reproductive AEs and carcinogenicity, may continue after the IND is submitted.</w:t>
      </w:r>
    </w:p>
    <w:p>
      <w:pPr>
        <w:spacing w:after="0" w:line="16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FDA requires a 30-day waiting period after the filing of each IND before clinical trials may begin. At any time during this 30-day period, the FDA may raise concerns or questions about the conduct of the trials as outlined in the IND and impose a clinical hold. In this case, the IND sponsor and the FDA must resolve any outstanding concerns before clinical trials can begin.</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due to safety concerns or non-compliance with specific FDA requirements.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7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sponsor may choose, but is not required, to conduct a foreign clinical study under an IND. When a foreign clinical study is conducted under an IND, all FDA IND requirements must be met unless waived. When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foreign clinical study is not conducted under an IND, the FDA may accept data from such study if the sponsor ensures that the study is conducted in accordance with GCP, including review and approval by an independent ethics committee, or IEC, and informed consent from subjects. The FDA must also be able to validate the data from the study through an on-site inspection if necessary.</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often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subjects or patients are being exposed to an unacceptable health risk. Other reasons for suspension or termination may be made by us based on evolving business objectives and/or competitive climate.</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penalities and also prevent the non-compliant party from receiving future frant funds from the federal government. The NIH’s Final Rule on ClinicalTrials.gov registration and reporting requirements became effective in 2017, and both NIH and FDA recently signaled the government’s willingness to begin enforcing those requirements against non-compliant clinical trial sponsors.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the parameters to be used to monitor subject safety and the effectiveness criteria to be evaluated.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31" w:lineRule="exact"/>
        <w:rPr>
          <w:sz w:val="20"/>
          <w:szCs w:val="20"/>
          <w:color w:val="auto"/>
        </w:rPr>
      </w:pPr>
    </w:p>
    <w:p>
      <w:pPr>
        <w:ind w:left="108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initially introduced into healthy human subjects or, in certain indications such as cancer, patients with the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and tested for safety, dosage tolerance, absorption, metabolism, distribution, excretion and, if possible, to gain an early indication of its effectiveness and to determine optimal dosage.</w:t>
      </w:r>
    </w:p>
    <w:p>
      <w:pPr>
        <w:spacing w:after="0" w:line="89"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drug is administered to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and optimal dosage.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drug is administered to an expanded patient population, generally at geographically dispersed clinical trial sites, in well-controlled clinical trials to generate enough data to evaluate the efficacy and safety of the product for approval, to establish the overall risk-benefit profile of the product and to provide adequate information for the labeling of the product.</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August 2018, the FDA released a draft guidance entitled “Expansion Cohorts: Use in First-In-Human Clinical Trials to Expedite Development of Oncology Drugs and Biologics,” which provides information for drug developers regarding the design and conduct of first-in-human clinical trials designed to expedite the clinical development of cancer drugs, including biological products, through multiple expansion cohort trials. Expansion cohort trials are designed to expedite development by seamlessly proceeding from the initial determination of a potentially effective dose to individual cohorts that have trial objectives typical of Phase 2 trials, such as evaluation of anti-tumor activity, or confirming the safety of a RP2D. Information to support the design of individual expansion cohorts are included in IND applications and assessed by FDA.</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9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Review Process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Under the Prescription Drug User Fee Act, or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17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including in connection with an advisory committee meeting, 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 sponsor may seek to develop and obtain approval of its product candidates under programs designed to accelerate the development, FDA review and approval of new drugs and biologics that meet certain criteria. For example, the FDA has a fast track program that is intended to expedite or facilitate the process for reviewing new drugs and biologics that are intended to treat a serious or life threatening disease or condition and demonstrate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potential to address unmet medical needs for the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 track status any time before receiving NDA or BLA approval, but ideally no later than the pre-NDA or pre-BLA meeting.</w:t>
      </w:r>
    </w:p>
    <w:p>
      <w:pPr>
        <w:spacing w:after="0" w:line="19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 product submitted to the FDA for marketing, including under a fast track program, may be eligible for other types of FDA programs intended to expedite development or review, such as priority review and accelerated approval. Priority review means that,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application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96"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A product may also be eligible for accelerated approval if it is designed to treat a serious or life-threatening disease or condition and demonstrates an effect on either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and breakthrough therapy designation do not change the standards for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Post-Marketing Requirements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Following approval of a new product, the manufacturer and the approved product are subject to continuing regulation by the FDA, including, among other things, monitoring and record-keeping activities, reporting of adverse experiences,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8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FDA may also place other conditions on approvals including the requirement for a Risk Evaluation and Mitigation Strategy, or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FDA regulations require that products be manufactured in specific approved facilities and in accordance with cGMP regulations.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3" w:lineRule="exact"/>
        <w:rPr>
          <w:sz w:val="20"/>
          <w:szCs w:val="20"/>
          <w:color w:val="auto"/>
        </w:rPr>
      </w:pPr>
    </w:p>
    <w:p>
      <w:pPr>
        <w:ind w:left="1080" w:right="24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voluntary product recalls;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Hatch-Waxman Amendments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or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Arial" w:cs="Arial" w:eastAsia="Arial" w:hAnsi="Arial"/>
          <w:sz w:val="16"/>
          <w:szCs w:val="16"/>
          <w:i w:val="1"/>
          <w:iCs w:val="1"/>
          <w:color w:val="auto"/>
        </w:rPr>
        <w:t>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in vivo</w:t>
      </w:r>
      <w:r>
        <w:rPr>
          <w:rFonts w:ascii="Arial" w:cs="Arial" w:eastAsia="Arial" w:hAnsi="Arial"/>
          <w:sz w:val="16"/>
          <w:szCs w:val="16"/>
          <w:color w:val="auto"/>
        </w:rPr>
        <w:t>, or other testing. The generic version must deliver the same amount of active ingredients into a subject’s bloodstream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time as the innovator drug and can often be substituted by pharmacists under prescriptions written for the reference listed drug.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Non-Patent Exclusivity</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non 505(b)(2) NDA referencing the approved product or ANDA may be filed for substantive review by the FDA until the expiration of five years unless the submission is accompanied by a Paragraph IV certification,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which states the proposed 505(b)(2) or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4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505(b)(2) NDAs referencing the approved drug product or ANDAs seeking approval for generic versions of the drug as of the date of approval of the original drug product; it only prevents FDA from approving such 505(b)(2) NDAs or ANDAs.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w:t>
      </w:r>
    </w:p>
    <w:p>
      <w:pPr>
        <w:spacing w:after="0" w:line="2" w:lineRule="exact"/>
        <w:rPr>
          <w:sz w:val="20"/>
          <w:szCs w:val="20"/>
          <w:color w:val="auto"/>
        </w:rPr>
      </w:pPr>
    </w:p>
    <w:p>
      <w:pPr>
        <w:ind w:left="380" w:hanging="264"/>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NDA, an applicant is required to certify to the FDA concerning any patents listed for the RLD in the Orange Book that:</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 patent information on the drug product that is the subject of the application has been submitted to the FDA;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patent has expired;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date on which such patent expires; or</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such patent is invalid, unenforceable or will not be infringed upon by the manufacture, use, or sale of the drug product for which the application is submitted.</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or 505(b)(2) NDA is submitted four years after approval, the 30-month stay is extended so that it expires seven and a half years after approval of the innovator drug, unless the patent expires or there is a decision in the infringement case that is favorable to the ANDA or 505(b)(2) NDA applicant before then.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Depending upon the timing, duration and specifics of FDA approval of our future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If an orphan designated product receives marketing approval for an indication broader than what is designated, it may not be entitled to orphan exclusivity. Orphan drug status in the European Union has similar, but not identical, requirements and benefits.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Under the Pediatric Research Equity Act, or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7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Certain of our product candidates are regulated as biologics. An abbreviated approval pathway for biological products shown to be similar to, or interchangeable with, an FDA-licensed reference biological product was created by the Biologics Price Competition and Innovation Act of 2009, or BPCI Act, as part of the Affordable Care Act, or the ACA. This amendment to the PHSA, in part, attempts to minimize duplicative testing. Biosimilarity, which requires that the biological product be highly similar to a biologic already licensed by the FDA pursuant to a BLA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 of Medical Devices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Requirements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Under the FDCA, a medical device is an instrument, apparatus, implement, machine, contrivance, implant,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reagent, or other similar or related article, including any component part, or accessory which is: (i) recognized in the official National Formulary, or the U.S. Pharmacopoeia, or any supplement to them; (ii) intended for use in the diagnosis of disease or other conditions, or in the cure, mitigation, treatment, or prevention of disease, in man or other animals; or (iii)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w:t>
      </w:r>
    </w:p>
    <w:p>
      <w:pPr>
        <w:spacing w:after="0" w:line="19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 the United States, medical devices are subject to extensive regulation by the FDA under the FDCA, and its implementing regulations, and certain other federal and state statutes and regulations. The laws and regulations govern, among other things, the research and development, design, testing, manufacture, packaging, storage, recordkeeping, approval, labeling, promotion, post-approval monitoring and reporting, distribution and import and export of medical devices.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 Unless an exemption applies, medical devices require marketing clearance or approval from the FDA prior to commercial distribution. The two primary types of FDA marketing authorization applicable to a medical device are premarket notification, also called 510(k) clearance, and premarket approval, or PMA approval; however, other devices may be commercialized after the FDA grants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510(k) Process</w:t>
      </w:r>
    </w:p>
    <w:p>
      <w:pPr>
        <w:spacing w:after="0" w:line="117"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spacing w:after="0" w:line="12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Class I devices are those for which safety and effectiveness can be reasonably assured by adherence to a set of regulations, referred to as General Controls, which require compliance with the applicable portions of the FDA’s Quality System Regulation, or QSR, which sets forth cGMP requirements for medical devices, facility registration and product listing, reporting of AEs and malfunctions, and appropriate, truthful and non-misleading labeling and promotional materials. Most Class I products are exempt from the premarket notification requirements.</w:t>
      </w:r>
    </w:p>
    <w:p>
      <w:pPr>
        <w:spacing w:after="0" w:line="17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Class II devices are those that are subject to the General Controls, as well as Special Controls, which can include performance standards, guidelines and post market surveillance. Most Class II devices are subject to premarket review and clearance by the FDA. Premarket review and clearance by the FDA for Class II devices is accomplished through the 510(k) premarket notification process. Under the 510(k) process, the manufacturer must submit to the FDA a premarket notification, demonstrating that the device is “substantially equivalent,” as defined in the statute, to either:</w:t>
      </w:r>
    </w:p>
    <w:p>
      <w:pPr>
        <w:spacing w:after="0" w:line="63"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device that was legally marketed prior to May 28, 1976, the date upon which the Medical Device Amendments of 1976 were enacted,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another commercially available, similar device that was cleared through the 510(k) process.</w:t>
      </w:r>
    </w:p>
    <w:p>
      <w:pPr>
        <w:spacing w:after="0" w:line="22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After a 510(k) notice is submitted, the FDA determines whether to accept it for substantive review. If it lacks necessary information for substantive review, the FDA will refuse to accept the 510(k) notification. If it is accepted for filing, the FDA begins a substantive review. If the FDA agrees that the device is substantially equivalent, it will grant clearance to commercially market the device.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De Novo and PMA Processes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 xml:space="preserve">If the FDA determines that the device is not “substantially equivalent” to a predicate device, or if the device is classified into Class III by operation of law, the device sponsor must then fulfill the much more rigorous premarketing requirements of the PMA process, or seek classification of the device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A manufacturer can also submit a direct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if the manufacturer is unable to identify an appropriate predicate device and the new device or new use of the device presents a moderate or low risk.</w:t>
      </w:r>
    </w:p>
    <w:p>
      <w:pPr>
        <w:spacing w:after="0" w:line="15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In response to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FDA may classify the device into class I or II. Under the FDCA, FDA must make a classification determination for the device that is the subject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by written order within 120 days of the request. However, in accordance with the performance goals and procedures agreed to by FDA for the medical device user fee program in the Medical Device User Fee Amendments of 2017, or MDUFA IV, FDA has committed to issuing a MDUFA decision within 150 FDA days of receipt of the submission for 65 percent of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requests received in fiscal year 2021. During the pendency of FDA’s review, FDA may issue an additional information letter, which places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on hold and stops the review clock pending receipt of the additional information requested. In the event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requestor does not provide the requested information within 180 calendar days, FDA will consider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to be withdrawn.</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If FDA determines that General Controls or General Controls and Special Controls are insufficient to provide reasonable assurance of safety and effectiveness or the information and/or the data provided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are insufficient to determine whether General Controls or General Controls and Special Controls can provide a reasonable assurance of safety and effectiveness, FDA will decline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If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is declined, FDA issues a written order to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requestor identifying the reasons for declining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and the device remains in class</w:t>
      </w:r>
    </w:p>
    <w:p>
      <w:pPr>
        <w:spacing w:after="0" w:line="1" w:lineRule="exact"/>
        <w:rPr>
          <w:sz w:val="20"/>
          <w:szCs w:val="20"/>
          <w:color w:val="auto"/>
        </w:rPr>
      </w:pPr>
    </w:p>
    <w:p>
      <w:pPr>
        <w:ind w:left="120" w:right="80" w:hanging="4"/>
        <w:spacing w:after="0" w:line="252" w:lineRule="auto"/>
        <w:tabs>
          <w:tab w:leader="none" w:pos="3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and may not be marketed.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requestor may submit a PMA or collect additional information to address the issues identified by FDA and submit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that includes the additional information. Alternatively, in the event FDA determines the data and information submitted demonstrate that General Controls or General and Special Controls are adequate to provide reasonable assurance of safety and effectiveness, FDA will grant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When FDA grants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the device is granted marketing authorization and further can serve as a predicate for future devices of that type, including for 510(k)s. In December 2018, the FDA issued proposed regulations to govern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which include requirements beyond what has historically been required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submissions. If finalized, these regulations could further impact this path to market.</w:t>
      </w:r>
    </w:p>
    <w:p>
      <w:pPr>
        <w:spacing w:after="0" w:line="192"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study data, manufacturing information, labeling and financial disclosure information for the clinical investigators in device studies. The PMA application must provide valid scientific evidence that demonstrates to the FDA’s satisfaction reasonable assurance of the safety and effectiveness of the device for its intended use. Overall, the FDA review of a PMA application generally takes between one and three years, but may take significantly longer.</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Exempt Devices</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a manufacturer’s device falls into a generic category of Class I or Class II devices that FDA has exempted by regulation, a premarket notification is not required before marketing the device in the United States. Manufacturers of such devices are required to register their establishments and list the generic category or classification name of their devices. Some 510(k)-exempt devices are also exempt from QSR requirements, except for the QSR’s complaint handling and recordkeeping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Pre-Submission Meetings</w:t>
      </w:r>
    </w:p>
    <w:p>
      <w:pPr>
        <w:spacing w:after="0" w:line="117"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 xml:space="preserve">The FDA has mechanisms to provide companies with guidance prior to formal submission of either a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or PMA. One such mechanism is the pre-submission program in which a company has a “pre-submission” meeting as outlined in the FDA guidance document “Requests for Feedback and Meetings for Medical Device Submissions: The Q-Submission Program” that was issued in May 2019. The main purpose of the pre-submission meeting is to provide companies with guidance from the FDA on matters of significance to product development and/or submission preparation. Prior to the pre-submission meeting, the company provides a briefing document to the FDA. The FDA is not obligated to follow the recommendations it provides to companies as a result of a pre-submission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A clinical trial is almost always required to support a PMA application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and is sometimes required for a premarket notification. For significant risk devices, the FDA regulations require that human clinical investigations conducted in the United States be approved via an investigational device exemption, or IDE, which must become effective before clinical testing may commence.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 impairment of human health, or otherwise presents a potential for serious risk to a subject. A nonsignificant risk device does not require FDA approval of an IDE; however, the clinical trial must still be conducted in compliance with abbreviated IDE regulations, such as those relating to trial monitoring, informed consent, and labeling and record-keeping. In some cases, one or more smaller studies may precede a pivotal clinical trial intended to demonstrate the safety and effectiveness of the investigational device. A 30-day waiting period after the submission of each IDE is required prior to the commencement of clinical testing in humans. If the FDA determines that there are deficiencies or other concerns with an IDE that require modification, the FDA may permit a clinical trial to proceed under a conditional approval. If the FDA disapproves the IDE within this 30-day period, the clinical trial proposed in the IDE may not begin.</w:t>
      </w:r>
    </w:p>
    <w:p>
      <w:pPr>
        <w:spacing w:after="0" w:line="17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An IDE application must be supported by appropriate data, such as animal and laboratory test results, showing that it is safe to test the device in humans and that the testing protocol is scientifically sound. The IDE application must also include a description of product manufacturing and controls, and a proposed clinical trial protocol. FDA typically grants IDE approval for a specified number of patients to be treated at specified study centers. During the study, the sponsor must comply with the FDA’s IDE requirements for investigator selection, trial monitoring, reporting, and record keeping. The investigators must obtain patient informed consent, rigorously follow the investigational plan and study protocol, control the disposition of investigational devices, and comply with all reporting and record keeping requirements. Certain IDE requirements apply to all investigational devices, whether such devices are considered significant or nonsignificant risks. Prior to granting PMA approval, the FDA typically inspects the records relating to the conduct of the study and the clinical data supporting the PMA application for compliance with IDE requirements.</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Clinical trials must be conducted: (i) in compliance with federal regulations, including those related to good clinical practices, or GCPs, which are intended to protect the rights and health of patients and to define the roles of clinical trial sponsors, investigators, and monitors; and (ii) under protocols detailing the objectives of the trial,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parameters to be used in monitoring safety, and the effectiveness criteria to be evaluated. Clinical trials are typically conducted at geographically diverse clinical trial sites, and are designed to permit FDA to evaluate the overall benefit-risk relationship of the device and to provide adequate information for the labeling of the device. Clinical trials for both significant and nonsignificant risk devices, must be approved by an IRB for each trial site.</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Although the QSR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 Investigational devices may only be distributed for use in an investigation, and must bear a label with the statement: “CAUTION—Investigational device. Limited by Federal law to investigational use.”</w:t>
      </w:r>
    </w:p>
    <w:p>
      <w:pPr>
        <w:spacing w:after="0" w:line="17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Post-Marketing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a device is placed on the market, numerous regulatory requirements apply. These include:</w:t>
      </w:r>
    </w:p>
    <w:p>
      <w:pPr>
        <w:spacing w:after="0" w:line="131"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annual and updated establishment registration and device listing with the FDA;</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QSR requirements, which require manufacturers to follow stringent design, testing, control, documentation, complaint handling and other quality assurance procedures during all aspects of the design and manufacturing process;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advertising and promotion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restrictions on sale, distribution or use of a device;</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and provide adequate directions for use and that all claims are substantiated, and also prohibit the promotion of products for unapproved or “off-label” uses and impose other restrictions on labeling;</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and</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complying with the federal law and regulations requiring Unique Device Identifiers on devices and also requiring the submission of certain information about each device to the FDA’s Global Unique Device Identification Database.</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FDA enforces these requirements by inspection and market surveillance. If the FDA finds a violation, it can institute a wide variety of enforcement actions, ranging from a public warning letter to more severe sanctions such as:</w:t>
      </w:r>
    </w:p>
    <w:p>
      <w:pPr>
        <w:spacing w:after="0" w:line="76" w:lineRule="exact"/>
        <w:rPr>
          <w:sz w:val="20"/>
          <w:szCs w:val="20"/>
          <w:color w:val="auto"/>
        </w:rPr>
      </w:pPr>
    </w:p>
    <w:p>
      <w:pPr>
        <w:ind w:left="5480" w:right="3840" w:hanging="4824"/>
        <w:spacing w:after="0" w:line="449" w:lineRule="auto"/>
        <w:tabs>
          <w:tab w:leader="none" w:pos="107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 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recall, withdrawals, or administrative detention or seizure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refusing or delating requests for 510(k) clearance or PMA approval of new products or modified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withdrawing PMA approvals or 510(k) clearances already granted;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refusal to grant export or import approvals for marketing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products under development.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Device Modifications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Some changes to an approved PMA device, including changes in indications, labeling, or manufacturing processes or facilities, require submission and FDA approval of a new PMA or PMA supplement, as appropriate, before the change can be implemented. Supplements to a PMA often require the submission of the same type of information required for an original PMA, except that the supplement is generally limited to that information needed to support the proposed change from the product covered by the original PMA. The FDA uses the same procedures and actions in reviewing PMA supplements as it does in reviewing original PMAs.</w:t>
      </w:r>
    </w:p>
    <w:p>
      <w:pPr>
        <w:spacing w:after="0" w:line="18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Modifications to a device that received 510(k) clearance may require a new 510(k) submission if those changes could significantly affect the safety or effectiveness of the device, or if the modifications represent a major change in intended use. If the manufacturer determines that a modification could not substantially affect the safety or effectiveness of the device, it should document the changes and rationale for not submitting a new 510(k). Though the manufacturer is responsible for the initial assessment, FDA may disagree, and later require the manufacturer to submit a 510(k) for the modified device. FDA could require the manufacturer to cease marketing the modified device while the 510(k) notification is awaiting clearance.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Drug Development</w:t>
      </w:r>
    </w:p>
    <w:p>
      <w:pPr>
        <w:spacing w:after="0" w:line="11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In the European Union, our future products and product candidates also may be subject to extensive regulatory requirements. As in the United States, medicinal products can be marketed only if a marketing authorization from the competent regulatory agencies has been obtained.</w:t>
      </w:r>
    </w:p>
    <w:p>
      <w:pPr>
        <w:spacing w:after="0" w:line="14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9"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April 2014, the EU passed the new Clinical Trials Regulation, (EU) No 536/2014, which will replace the current Clinical Trials Directive 2001/20/EC. To ensure that the rules for clinical trials are harmonized throughout the European Union, the new EU clinical trials legislation was passed as a regulation that is directly applicable in all EU member states. All clinical trials performed in the European Union are required to be conducted in accordance with the Clinical Trials Directive 2001/20/EC until the new Clinical Trials Regulation (EU) No 536/2014 becomes applicable. It is expected that the new Clinical Trials Regulation (EU) No 536/2014 will apply following confirmation of full functionality of the Clinical Trials Information System, or CTIS, the centralized European Union portal and database for clinical trials foreseen by the regulation, through an independent audit. The regulation becomes applicable six months after the European Commission publishes notice of this confirmation with a three-year transition period. It will overhaul the current system of approvals for clinical trials in the European Union. Specifically, the new regulation, which will be directly applicable in all member states, aims at simplifying and streamlining the approval of clinical trials in the European Union. For instance, the new Clinical Trials Regulation provides for a streamlined application procedure via a single point and strictly defined deadlines for the assessment of clinical trial applications.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Drug Marketing</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and in the UK. The provision of benefits or advantages to physicians is governed by national anti-bribery laws, such as the UK Bribery Act 2010. Infringement of these laws could result in substantial fines and imprisonment.</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Payments made to physicians in certain European Union Member States and in the UK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Drug Review and Approval</w:t>
      </w:r>
    </w:p>
    <w:p>
      <w:pPr>
        <w:spacing w:after="0" w:line="117"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(together with Norway), Iceland and Liechtenstein, medicinal products can only be commercialized after obtaining a Marketing Authorization, or MA. There are two types of marketing authorizations.</w:t>
      </w:r>
    </w:p>
    <w:p>
      <w:pPr>
        <w:spacing w:after="0" w:line="89" w:lineRule="exact"/>
        <w:rPr>
          <w:sz w:val="20"/>
          <w:szCs w:val="20"/>
          <w:color w:val="auto"/>
        </w:rPr>
      </w:pPr>
    </w:p>
    <w:p>
      <w:pPr>
        <w:ind w:left="1080" w:right="20" w:hanging="424"/>
        <w:spacing w:after="0" w:line="271"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83"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4" w:lineRule="auto"/>
        <w:rPr>
          <w:sz w:val="20"/>
          <w:szCs w:val="20"/>
          <w:color w:val="auto"/>
        </w:rPr>
      </w:pPr>
      <w:r>
        <w:rPr>
          <w:rFonts w:ascii="Arial" w:cs="Arial" w:eastAsia="Arial" w:hAnsi="Arial"/>
          <w:sz w:val="18"/>
          <w:szCs w:val="18"/>
          <w:color w:val="auto"/>
        </w:rPr>
        <w:t>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5"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New Chemical Entity Exclusivity</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the European Union, new chemical entities, sometimes referred to as new active substances, qualify for eight years of data exclusivity upon marketing authorization and an additional two years of market exclusivity. The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Orphan Designation and Exclusivity</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(or where it is unlikely that the development of the medicine would generate sufficient return to justify the investment) and for which no satisfactory method of diagnosis, prevention or treatment has been authorized (or, if a method exists, the product would be a significant benefit to those affected).</w:t>
      </w:r>
    </w:p>
    <w:p>
      <w:pPr>
        <w:spacing w:after="0" w:line="18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Additionally, marketing authorization may be granted to a similar product for the same indication at any time, if (i) the holder of the marketing authorization for the original orphan medicinal product consents to a second orphan medicinal product application, (ii) the holder of the marketing authorization for the original orphan medicinal product cannot supply sufficient quantities of the orphan medicinal product, or (iii) the second applicant can establish that the second medicinal product, although similar, is safer, more effective or otherwise clinically superior to the authorized orphan medicinal product. Orphan drug designation must be requested before submitting an application for marketing approval. Orphan drug designation does not convey any advantage in, or shorten the duration of, the regulatory review and approval process.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Pediatric Investigation Plan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the EEA, MAAs for new medicinal products not authorized have to include the results of studies conducted in the pediatric population, in compliance with a pediatric investigation plan, or PIP, agreed with the EMA’s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trial results are included in the product information, even when negative, the product is eligible for six months’ supplementary protection certificate extension.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Union Device Development</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the European Union, medical devices are regulated under the European Union Directive (93/42/EEC), also known as the Medical Device Directive, or the MDD. Active Implantable Medical Devices are regulated under Directive 90/385/EEC, and In-Vitro Diagnostic Devices under Directive 98/79/EC (the IVDD). An authorized third party, also called a Notified Body, must approve products for CE marking (except lower risk, or “Class 1”, medical devices) and conducts periodic inspections to ensure applicable regulatory requirements are met. The CE mark is contingent upon continued compliance to the applicable regulations and the quality system requirements of the ISO 13485 standard.</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new European Medical Devices Regulation (2017/745), or the EU MDR, and Regulation 2017/746 on In-Vitro Diagnostic Devices, or the EU IVDR, which were published in May 2017 with a transition period until May 26, 2021, replace the MDD and IVDD. Starting May 26, 2021, the new EU MDR will apply and no new applications under the previous directives will be permitted. During the four-year transition period, companies need to update their technical documentation and other quality management system processes to meet the new EU MDR (or, as applicable, IVDR) requirements. Under the new EU MDR requirements, CE certificates issued under the MDD or IVDD prior to May 25, 2017 will remain valid in accordance with their term, beyond the expiration of the transition period; however, certain limitations set forth in the EU MDR (or, as applicable, the EU IVDR), such as the need to use classifications that are different from the previous directives, would apply, as well as the requirements of the EU MDR (or, as applicable, EU IVDR) relating to post-market surveillance, vigilance and registration of economic operators and devices will apply in place of the corresponding requirements of the MDD. CE certificates issued under the MDD or IVDD from May 25, 2017 until May 25, 2021 will remain valid in accordance with their term, but shall not exceed five years and shall become void after May 26, 2024. However, devices already placed on the market before May 26, 2024 under the previous directives may continue to be made available until May 26, 2026.</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In October 2019, a withdrawal agreement, or the Withdrawal Agreement, setting out the terms of the United Kingdom’s exit from the European Union, and a political declaration on the framework for the future relationship between the United Kingdom and European Union was agreed between the UK and EU governments. Under the terms of the EU Withdrawal Agreement, the United Kingdom withdrew from membership of the European Union on</w:t>
      </w:r>
    </w:p>
    <w:p>
      <w:pPr>
        <w:spacing w:after="0" w:line="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31 January 2020 and entered into a ‘transition period’ which is due to expire on 31 December 2020.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and United Kingdom Data Collection Regulation</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the event we decide to conduct clinical trials in the European Union and/or the United Kingdom, we may be subject to additional data protection requirements. The collection and use of personal data (which includes health information) in the European Union is governed by the provisions of the General Data Protection Regulation 2016/679, or GDPR, and in the United Kingdom, after the transition period, governed by the Data Protection Act 2018 (however, until the end of the transition period, the GDPR will continue to apply to the UK). The GDPR applies to any company established in the EEA and to companies established outside the EEA that process personal data in connection with the offering of goods or services to data subjects in the EU or the monitoring of the behavior of data subjects in the European Union. The GDPR enhances data protection obligations for controllers of personal data, including requiring controllers to: ensure legal bases they rely on to process personal data are aligned to the legal bases prescribed under the GDPR; individuals are informed as to what personal data is collected from them, how it is used and how they can exercise certain rights in line with the increased disclosures; conduct data protection impact assessments for “high risk” processing; only retain personal data for as long as it is needed in line with the purpose it was obtained; ensure an appropriate level of security in line with the nature and scope of the personal data being processed, and where there has been a personal data breach (i.e. a breach to security which had led to personal data being compromised), notify the relevant supervisory authority and/or individuals affected; embed “privacy by design” practices into new technologies which involve the processing of personal data; enter into data processing terms and carry out appropriate due diligence on any service provider which processes personal data on behalf of the controller (and therefore qualifying as a processor). The GDPR also imposes strict rules on the transfer of personal data outside of the EEA to countries that do not ensure an adequate level of protection, like the U.S. Failure to comply with the requirements of the GDPR and the related national data protection laws of the EEA Member States may result in fines up to 20 million Euros or 4 percent of a company’s global annual revenues for the preceding financial year, whichever is higher. Moreover, the GDPR grants data subjects the right to claim for material and non-material damages resulting from infringement of the GDPR. Given the breadth and depth of these data protection obligations, maintaining compliance with the GDPR will require significant time, resources and expense, and as an ongoing compliance measure we may be required to put in place additional mechanisms which help to ensure our compliance with the data protection rules. This may be onerous and adversely affect our business, financial condition, results of operations and prospects.</w:t>
      </w: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accurately and fairly reflect all transactions of the corporation, including international subsidiaries, and to devise and maintain an adequate system of internal accounting controls for international operations.</w:t>
      </w:r>
    </w:p>
    <w:p>
      <w:pPr>
        <w:spacing w:after="0" w:line="170"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and Privacy Laws and Regulation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CMS, including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5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and other medical items and services. Arrangements with providers, consultants, third-party payors and customers are subject to broadly applicable fraud and abuse, anti-kickback, false claims laws, reporting of payments to physicians and teaching hospitals and patient privacy laws and regulations and other healthcare laws and regulations that may constrain our business and/or financial arrangements. Restrictions under applicable federal and state healthcare and privacy laws and regulations, include the following:</w:t>
      </w:r>
    </w:p>
    <w:p>
      <w:pPr>
        <w:spacing w:after="0" w:line="93" w:lineRule="exact"/>
        <w:rPr>
          <w:sz w:val="20"/>
          <w:szCs w:val="20"/>
          <w:color w:val="auto"/>
        </w:rPr>
      </w:pPr>
    </w:p>
    <w:p>
      <w:pPr>
        <w:ind w:left="1080" w:hanging="424"/>
        <w:spacing w:after="0" w:line="270"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(including any kickback, bribe or certain rebate), directly or indirectly, overtly or covertly, in cash or in kind, or in return for, that is intended to induce or reward referrals, including the purchase, recommendation, order or prescription of a particular drug, for which payment may be made under a federal healthcare program, such as Medicare or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jc w:val="both"/>
        <w:ind w:left="1080" w:right="120" w:hanging="424"/>
        <w:spacing w:after="0" w:line="286"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91" w:lineRule="auto"/>
        <w:rPr>
          <w:sz w:val="20"/>
          <w:szCs w:val="20"/>
          <w:color w:val="auto"/>
        </w:rPr>
      </w:pPr>
      <w:r>
        <w:rPr>
          <w:rFonts w:ascii="Arial" w:cs="Arial" w:eastAsia="Arial" w:hAnsi="Arial"/>
          <w:sz w:val="16"/>
          <w:szCs w:val="16"/>
          <w:color w:val="auto"/>
        </w:rPr>
        <w:t>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2" w:lineRule="exact"/>
        <w:rPr>
          <w:sz w:val="20"/>
          <w:szCs w:val="20"/>
          <w:color w:val="auto"/>
        </w:rPr>
      </w:pPr>
    </w:p>
    <w:p>
      <w:pPr>
        <w:ind w:left="1080" w:right="8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92"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civil and criminal liability for, among other things, knowingly and willfully executing, or attempting to execute, a scheme to defraud any healthcare benefit program or knowingly and willfully falsifying, concealing or covering up by any trick or device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Patient Protection and Affordable Care Act, as amended by the Health Care and Education Reconciliation Act, or collectively the Affordable Care Act, which requires certain manufacturers of drugs, devices, biologics and medical supplies to report annually to the Centers for Medicare &amp; Medicaid Services, or CMS, within the U.S. Department of Health and Human Services, or HHS, information related to payments and other transfers of value made by that entity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 In addition, many states also require the reporting of payments or other transfers of value. In addition, many states also require reporting of payments or other transfers of value, many of which differ from each other in significant ways, are often not pre-empted, and may have a more prohibitive effect than the Sunshine Act, thus further complicating compliance efforts;</w:t>
      </w:r>
    </w:p>
    <w:p>
      <w:pPr>
        <w:spacing w:after="0" w:line="87"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308"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many state laws govern the privacy of personal information in specified circumstances,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 and</w:t>
      </w:r>
    </w:p>
    <w:p>
      <w:pPr>
        <w:spacing w:after="0" w:line="71" w:lineRule="exact"/>
        <w:rPr>
          <w:rFonts w:ascii="Arial" w:cs="Arial" w:eastAsia="Arial" w:hAnsi="Arial"/>
          <w:sz w:val="16"/>
          <w:szCs w:val="16"/>
          <w:color w:val="auto"/>
        </w:rPr>
      </w:pPr>
    </w:p>
    <w:p>
      <w:pPr>
        <w:ind w:left="1080" w:right="220" w:hanging="424"/>
        <w:spacing w:after="0" w:line="254"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some state laws require pharmaceutical companies to comply with the industry’s voluntary compliance guidelines and the relevant compliance guidance promulgated by the federal government in addition to requiring manufacturers to report information related to payments to physicians and other healthcare providers, marketing expenditures, and pricing information. Certain state and local laws require the registration of pharmaceutical sales and medical representatives. State and foreign laws, including for example the European Union General Data Protection Regulation, also govern the privacy and security of personal data, including health information, in some circumstances, many of which differ from each other in significant ways and often are not preempted by HIPAA, thus complicating compliance efforts.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Coverage</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and other medical products exists among third-party payors. Therefore, coverage and reimbursement for drug and other medical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or other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and Future Legislation</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U.S. Congress enacted the Affordable Care Act, which, among other things, includes changes to the coverage and payment for products under government health care programs. The Affordable Care Act includes provisions of importance to our potential product candidates that:</w:t>
      </w:r>
    </w:p>
    <w:p>
      <w:pPr>
        <w:spacing w:after="0" w:line="93" w:lineRule="exact"/>
        <w:rPr>
          <w:sz w:val="20"/>
          <w:szCs w:val="20"/>
          <w:color w:val="auto"/>
        </w:rPr>
      </w:pPr>
    </w:p>
    <w:p>
      <w:pPr>
        <w:ind w:left="1080" w:right="680" w:hanging="424"/>
        <w:spacing w:after="0" w:line="34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29"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certain individuals with income at or below 133 percent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percent point-of-sale-discount (increased to 70% as of January 1, 2019 pursuant to subsequent legislation) off the negotiated price of applicable brand drugs to eligible beneficiaries during their coverage gap period as a condition for the manufacturers’ outpatient drugs to be covered under Medicare Part D; and</w:t>
      </w:r>
    </w:p>
    <w:p>
      <w:pPr>
        <w:spacing w:after="0" w:line="92"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and we expect there will be additional challenges and amendments to the ACA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future. For example, since January 2017, President Trump has signed various Executive Orders and other directives designed to delay the implementation of or otherwise circumvent certain provisions of the Affordable Care Act. While Congress has not passed comprehensive repeal legislation, it has enacted laws that modify certain provisions of the Affordable Care Act such as removing penalties, starting January 1, 2019, for not complying with the Affordable Care Act’s individual mandate to carry health insurance, delaying the implementation of certain Affordable Care Act-mandated fees, and increasing the point-of-sale discount that is owed by pharmaceutical manufacturers who participate in Medicare Part D. On December 14, 2018, a Texas U.S. District Court Judge ruled that the Affordable Care Act is unconstitutional in its entirety because the “individual mandate” was repealed by Congress as part of the Tax Cuts and Jobs Act of 2017. On December 18, 2019, the U.S. Court of Appeals for the 5th Circuit ruled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The Trump administration and CMS, have stated that the ruling will have no immediate effect pending appeal of the decision. Litigation and legislation related to the ACA are likely to continue, with unpredictable and uncertain results. We will continue to evaluate the effect that the ACA and its possible repeal and replacement has on our business.</w:t>
      </w:r>
    </w:p>
    <w:p>
      <w:pPr>
        <w:spacing w:after="0" w:line="16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In August 2011, the Budget Control Act of 2011, among other things, included aggregate reductions of Medicare payments to providers of 2 percent per fiscal year, which went into effect in April 2013 and, due to subsequent legislative amendments to the statute, will remain in effect through 2027 unless additional Congressional action is taken. However, pursuant to the Coronavirus Aid, Relief and Economic Security Act, or CARES Act, these Medicare sequester reductions will be suspended from May 1, 2020 through December 31, 2020 due to the COVID-19 pandemic.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on July 24, 2020, President Trump signed four Executive Orders aimed at lowering drug prices. The Executive Orders direct the Secretary of the Department of Health and Human Services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w:t>
      </w:r>
    </w:p>
    <w:p>
      <w:pPr>
        <w:spacing w:after="0" w:line="1" w:lineRule="exact"/>
        <w:rPr>
          <w:sz w:val="20"/>
          <w:szCs w:val="20"/>
          <w:color w:val="auto"/>
        </w:rPr>
      </w:pPr>
    </w:p>
    <w:p>
      <w:pPr>
        <w:ind w:left="120" w:right="260" w:hanging="4"/>
        <w:spacing w:after="0" w:line="273" w:lineRule="auto"/>
        <w:tabs>
          <w:tab w:leader="none" w:pos="37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or FQHC, as part of the 340B drug program to purchase those drugs at the discounted price paid by the FQHC. On September 13, 2020, President Trump signed an Executive Order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Although a number of these, and other proposed measures will require authorization through additional legislation to become effective, Congress and the current administration have each indicated that it will continue to seek new legislative and/or administrative measures to control drug costs.</w:t>
      </w:r>
    </w:p>
    <w:p>
      <w:pPr>
        <w:spacing w:after="0" w:line="19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While some proposed measures may require additional authorization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w:t>
      </w:r>
    </w:p>
    <w:p>
      <w:pPr>
        <w:spacing w:after="0" w:line="17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Drug manufacturers who provide their investigational product under the Right to Try Act are required to submit to FDA an annual summary of the use of their drug.</w:t>
      </w:r>
    </w:p>
    <w:p>
      <w:pPr>
        <w:spacing w:after="0" w:line="16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lease approximately 50,858 square feet of office and laboratory space in Boston, Massachusetts of which we sublease approximately 11,852 square feet to a third party. This facility serves as our corporate headquarters. Certain of our Founded Entities sublease space from us and reimburse us at market rates. We also lease approximately 4,170 square feet of laboratory space in Boston, Massachusetts. We believe that our existing facilities are adequate to meet our current needs for the foreseeable future, and that suitable additional alternative spaces will be available in the future on commercially reasonable terms if needed.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the date of this registration statement, we were not party to any material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of June 30, 2020, we had one significant subsidiary. The following table sets out for each of our principal subsidiaries, the country of incorporation, percentage ownership and voting interest held by us (directly or indirectly through subsidiaries):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1980" w:type="dxa"/>
            <w:vAlign w:val="bottom"/>
            <w:vMerge w:val="restart"/>
          </w:tcPr>
          <w:p>
            <w:pPr>
              <w:spacing w:after="0"/>
              <w:rPr>
                <w:sz w:val="14"/>
                <w:szCs w:val="14"/>
                <w:color w:val="auto"/>
              </w:rPr>
            </w:pPr>
          </w:p>
        </w:tc>
        <w:tc>
          <w:tcPr>
            <w:tcW w:w="2580" w:type="dxa"/>
            <w:vAlign w:val="bottom"/>
            <w:gridSpan w:val="2"/>
            <w:vMerge w:val="restart"/>
          </w:tcPr>
          <w:p>
            <w:pPr>
              <w:jc w:val="center"/>
              <w:ind w:left="908"/>
              <w:spacing w:after="0"/>
              <w:rPr>
                <w:sz w:val="20"/>
                <w:szCs w:val="20"/>
                <w:color w:val="auto"/>
              </w:rPr>
            </w:pPr>
            <w:r>
              <w:rPr>
                <w:rFonts w:ascii="Arial" w:cs="Arial" w:eastAsia="Arial" w:hAnsi="Arial"/>
                <w:sz w:val="14"/>
                <w:szCs w:val="14"/>
                <w:b w:val="1"/>
                <w:bCs w:val="1"/>
                <w:color w:val="auto"/>
                <w:w w:val="94"/>
              </w:rPr>
              <w:t>Country of incorporation</w:t>
            </w:r>
          </w:p>
        </w:tc>
        <w:tc>
          <w:tcPr>
            <w:tcW w:w="25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1"/>
              </w:rPr>
              <w:t>Percentage ownership</w:t>
            </w:r>
          </w:p>
        </w:tc>
        <w:tc>
          <w:tcPr>
            <w:tcW w:w="3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Main activity</w:t>
            </w:r>
          </w:p>
        </w:tc>
        <w:tc>
          <w:tcPr>
            <w:tcW w:w="0" w:type="dxa"/>
            <w:vAlign w:val="bottom"/>
          </w:tcPr>
          <w:p>
            <w:pPr>
              <w:spacing w:after="0"/>
              <w:rPr>
                <w:sz w:val="1"/>
                <w:szCs w:val="1"/>
                <w:color w:val="auto"/>
              </w:rPr>
            </w:pPr>
          </w:p>
        </w:tc>
      </w:tr>
      <w:tr>
        <w:trPr>
          <w:trHeight w:val="163"/>
        </w:trPr>
        <w:tc>
          <w:tcPr>
            <w:tcW w:w="62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8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and voting interest</w:t>
            </w:r>
          </w:p>
        </w:tc>
        <w:tc>
          <w:tcPr>
            <w:tcW w:w="3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PureTech Health LLC</w:t>
            </w:r>
          </w:p>
        </w:tc>
        <w:tc>
          <w:tcPr>
            <w:tcW w:w="102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United States</w:t>
            </w:r>
          </w:p>
        </w:tc>
        <w:tc>
          <w:tcPr>
            <w:tcW w:w="680" w:type="dxa"/>
            <w:vAlign w:val="bottom"/>
            <w:vMerge w:val="continue"/>
            <w:shd w:val="clear" w:color="auto" w:fill="CCEEFF"/>
          </w:tcPr>
          <w:p>
            <w:pPr>
              <w:spacing w:after="0"/>
              <w:rPr>
                <w:sz w:val="17"/>
                <w:szCs w:val="17"/>
                <w:color w:val="auto"/>
              </w:rPr>
            </w:pPr>
          </w:p>
        </w:tc>
        <w:tc>
          <w:tcPr>
            <w:tcW w:w="18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100.0%</w:t>
            </w:r>
          </w:p>
        </w:tc>
        <w:tc>
          <w:tcPr>
            <w:tcW w:w="38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Biotherapeutics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lease approximately 50,858 square feet of office and laboratory space in Boston, Massachusetts of which we sublease approximately 11,852 square feet to a third party. This facility serves as our corporate headquarters. Certain of our Founded Entities sublease space from us and reimburse us at market rates. We also lease approximately 4,170 square feet of laboratory space in Boston, Massachusetts. We believe that our existing facilities are adequate to meet our current needs for the foreseeable future, and that suitable additional alternative spaces will be available in the future on commercially reasonable terms if needed.</w:t>
      </w:r>
    </w:p>
    <w:p>
      <w:pPr>
        <w:spacing w:after="0" w:line="3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40"/>
          </w:cols>
          <w:pgMar w:left="320" w:top="459"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together with “Selected Consolidated Financial Data” and our consolidated financial statements, including the notes thereto, included elsewhere in this registration statement. Some of the information contained in this discussion and analysis or set forth elsewhere in this registration statement, including information with respect to our plans and strategy for our business and related financing, includes forward-looking statements that involve risks and uncertainties. As a result of many factors, including those factors set forth in the “Risk Factors” section of this registration statement, our actual results could differ materially from the results described in or implied by these forward-looking statements.</w:t>
      </w:r>
    </w:p>
    <w:p>
      <w:pPr>
        <w:spacing w:after="0" w:line="192"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i w:val="1"/>
          <w:iCs w:val="1"/>
          <w:color w:val="auto"/>
        </w:rPr>
        <w:t>Our audited consolidated financial statements as of and for the years ended December 31, 2019, 2018 and 2017 have been prepared in accordance with the International Financial Reporting Standards, International Accounting Standards, and Interpretations (collectively “IFRS”) as issued by the International Accounting Standards Board (“IASB”) as adopted by the European Union (adopted IFRSs).</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i w:val="1"/>
          <w:iCs w:val="1"/>
          <w:color w:val="auto"/>
        </w:rPr>
        <w:t>The following discussion contains references to the consolidated financial statements of PureTech Health plc and its consolidated subsidiaries, or the Company.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the financial and operating policies. Where we have neither control nor significant influence for financial accounting purposes, we recognize our holding in such entity as an investment at fair value. For purposes of our consolidated financial statements, each of our Founded Entities are considered to be either a “subsidiary” or an “associate” depending on whether PureTech Health plc controls or maintains significant influence over the financial and operating policies of the respective entity at the respective period end date. For additional information regarding the accounting treatment of these entities, see Note 1 of our consolidated financial statements included in this registration statement. For additional information regarding our operating structure, see “—Basis of Presentation and Consolidation” below.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are a clinical-stage biotherapeutics company dedicated to discovering, developing and commercializing highly differentiated medicines for devastating diseases, including inflammatory and immunological conditions, intractable cancers, lymphatic and gastrointestinal diseases and neurological and neuropsychological disorders, among others. The product candidates within our Wholly Owned Pipeline and the products and product candidates being developed by our Founded Entities were initiated by our experienced research and development team and our extensive network of scientists, clinicians and industry leaders. These product candidates are protected by a growing intellectual property portfolio of more than 600 patents and patent applications, of which more than 200 are issued.</w:t>
      </w:r>
    </w:p>
    <w:p>
      <w:pPr>
        <w:spacing w:after="0" w:line="178" w:lineRule="exact"/>
        <w:rPr>
          <w:sz w:val="20"/>
          <w:szCs w:val="20"/>
          <w:color w:val="auto"/>
        </w:rPr>
      </w:pPr>
    </w:p>
    <w:p>
      <w:pPr>
        <w:ind w:left="120" w:right="200"/>
        <w:spacing w:after="0" w:line="289" w:lineRule="auto"/>
        <w:rPr>
          <w:sz w:val="20"/>
          <w:szCs w:val="20"/>
          <w:color w:val="auto"/>
        </w:rPr>
      </w:pPr>
      <w:r>
        <w:rPr>
          <w:rFonts w:ascii="Arial" w:cs="Arial" w:eastAsia="Arial" w:hAnsi="Arial"/>
          <w:sz w:val="16"/>
          <w:szCs w:val="16"/>
          <w:color w:val="auto"/>
        </w:rPr>
        <w:t>Since our inception, we have devoted substantially all of our resources to conducting research and development of our Wholly Owned product candidates and those being developed by our Founded Entities, in-licensing and acquiring rights to our Wholly Owned and our Founded Entities’ product candidates, building our intellectual property portfolio and providing general and administrative support for our operations. To date, we have raised a total of $439.3 million from external funding sources such as major investment funds and other leading investors. We raised $196.0 million when we completed our initial public offering, or IPO, on the London Stock Exchange in June 2015, plus an additional $101.2 million as a follow-on offering that we completed in April 2018. Prior to our IPO, we raised a total of $142.1 million in consecutive private financing rounds. In the period from January 2017 through June 2020, our Founded Entities strengthened their collective balance sheets by attracting $1,084.2 million in investments and non-dilutive funding, including $997.6 million from third parties. The balance of the funding is between PureTech Health plc and its Founded Entities. For a description of our structure and relationships with our Founded Entities, see “Business Overview” included elsewhere in this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registration statement. As of June 30, 2020, we had cash, cash equivalents and short-term investments of $340.1 million, which included aggregate proceeds of $12.3 million and $245.9 million from our sales of resTORbio and Karuna shares, respectively.</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Founded Entities, Gelesis, Inc., or Gelesis, and Akili Interactive Labs, Inc., or Akili, in which we lost control in 2019 and 2018, respectively, have products cleared for sale, but we and our Controlled Founded Entities have not generated any revenue from product sales. Our ability to generate product revenue sufficient to achieve profitability will depend heavily on the successful development and eventual commercialization of one or more of our Wholly Owned or our Controlled Founded Entities’ product candidates, which may never occur. For the years ended December 31, 2019, 2018 and 2017 and the six months ended June 30, 2020, we recognized income of $366.1 million, incurred a loss of $70.7 million, incurred a loss of $75.1 million and recognized income of $123.7 million, respectively. We had retained earnings as of June 30, 2020 of $378.4 million.</w:t>
      </w:r>
    </w:p>
    <w:p>
      <w:pPr>
        <w:spacing w:after="0" w:line="164"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We have deconsolidated a number of our Founded Entities during the past three fiscal years, including resTORbio, Inc., or resTORbio, in November 2017, Akili, in May 2018, Vor Biopharma Inc. and Karuna Therapeutics, Inc., or Karuna, during the first half of 2019 and Gelesis Inc., or Gelesis, during the second half of 2019. We expect this trend to continue into the foreseeable future as our Founded Entities raise additional funding. Any deconsolidation affects our financials in the following manner:</w:t>
      </w:r>
    </w:p>
    <w:p>
      <w:pPr>
        <w:spacing w:after="0" w:line="92"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ownership interest does not provide us with a controlling financial interest;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no longer control the subsidiary’s assets and liabilities and as a result we derecognize the assets, liabilities and non controlling interests related to the subsidiary from our Consolidated Statements of Financial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record our non controlling financial interest in the Founded Entity at fair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resulting amount of any gain or loss is recognized in our Consolidated Statements of Comprehensive Income/Loss.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expect our expenses to continue to increase substantially in connection with our ongoing development activities related to our preclinical and clinical programs. In addition, upon the completion of the U.S. listing to which this registration statement relates, we expect to incur additional costs associated with operating as a public company in the United States. We expect that our expenses and capital requirements will increase substantially in the near to mid-term as we:</w:t>
      </w:r>
    </w:p>
    <w:p>
      <w:pPr>
        <w:spacing w:after="0" w:line="92"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continue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claims;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operate as a U.S. public company.</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addition, we expect our internal research and development spend to increase in the foreseeable future as we initiate clinical studies for LYT-100, LYT-200, LYT-210 and LYT-300, and as we continue to progress our programs related to lymphatic targeting, oral biotherapeutics and brain and central nervous system lymphatics.</w:t>
      </w:r>
    </w:p>
    <w:p>
      <w:pPr>
        <w:spacing w:after="0" w:line="18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with respect to our Founded Entities’ programs, we anticipate that we will continue to fund a small portion of development costs by strategically participating in such companies’ financings when doing so would be in the interests of our shareholders. The form of any such participation may include investment in public or private financings, collaboration and partnership arrangements and licensing arrangements, among others. Our management and strategic decision makers have not made decisions regarding the future allocation of our resources among our Founded Entities, but evaluate the needs and opportunities with respect to each of these Founded Entities routinely and on a case-by-case basis.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a result, we may need substantial additional funding to support our continuing operations and pursue our growth strategy. Until such time as we can generate significant revenue from product sales, if ever, we expect to finance our operations through a combination of public or private equity or debt financings or other sources, which may include monetization of certain of our interests in our Founded Entities and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Wholly Owned product candidates.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and Collaboration Agreements</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have a disciplined strategy to maximize the value of our Wholly Owned Pipeline, or Internal segment, and have partnered, and plan to continue to partner, product candidates that we believe have promising utility in disease areas or patient populations that are better served by resources of larger biopharmaceutical companies. We are party to a collaboration and license agreement with Boehringer Ingelheim, or BI, to evaluate the feasibility of applying our lymphatic targeting technology to advance certain of BI’s IO product candidates.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“Business Overview—License Agreements” for a detailed description of our collaboration agreements.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also entered into exclusive license agreements with each of NYU, Monash University, University of Louisville, Memorial Sloan Kettering Cancer Center and University of Virginia, pursuant to which we have in-licensed certain early stage technology for our Wholly Owned Programs. Pursuant to these agreements, the universities are entitled to non-material payments upon the achievement of certain specified development and sales based milestones. Additionally, the universities are entitled to low single digit royalty payments on net sales of any products covered by their intellectual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In December 2019, illnesses associated with COVID-19 were reported and the virus has since caused widespread and significant disruption to daily life and economies across geographies. The World Health Organization has classified the outbreak as a pandemic. Our business, operations and financial condition and results have not been significantly impacted during the six months ended June 30, 2020 as a result of the COVID-19 pandemic. In response to the COVID-19 pandemic, we have taken swift action to ensure the safety of our employees and other stakeholders. We continue to monitor the latest developments regarding the COVID-19 pandemic on our business, operations, and financial condition and results, and have made certain assumptions regarding the pandemic for purposes of our operational planning and financial projections, including assumptions regarding the duration and severity of the pandemic and the global macroeconomic impact of the pandemic. Despite careful tracking and planning, however, we are unable to accurately predict the extent of the impact of the pandemic on our business, operations, and financial condition and results in future periods due to the uncertainty of future developments. We are focused on all aspects of our business and are implementing measures aimed at mitigating issues where possible including by using digital technology to assist operations for our R&amp;D and enabling functions.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Our consolidated financial information consolidates the financial information of PureTech Health plc, as well as its subsidiaries, and includes our interest in associates and investments held at fair value, and is reported in four operating segments as described below.</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Segmentation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directors are our strategic decision-makers. Our operating segments are based on the financial information provided to our directors at least quarterly for the purposes of allocating resources and assessing performance. We have determined that each Founded Entity is representative of a single operating segment as our directors monitor the financial results at this level. When identifying the reportable segments we have determined that it is appropriate to aggregate multiple operating segments into a single reportable segment given the high level of operational and financial similarities across the entities. We have identified four reportable segments which are outlined below. Substantially all of our revenue and profit generating activities are generated within the United States and, accordingly, no geographical disclosures are provided.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Internal</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Internal segment (the “Internal segment”), is advancing a pipeline fueled by recent discoveries in lymphatics and immune cell trafficking to modulate disease in a tissue-specific manner. These programs leverage the transport and biodistribution of various immune system components for the targeted treatment of diseases with major unmet needs, including cancers, autoimmune diseases, and neuroimmune disorders. The Internal segment is comprised of the technologies that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June 30, 2020, this segment included PureTech LYT, Inc. (formerly Ariya Therapeutics Inc.) and PureTech LYT 100, Inc.</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Founded Entities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Controlled Founded Entities segment (the “Controlled Founded Entity segment”) is comprised of our subsidiaries that are currently consolidated operational subsidiaries that either have, or have plans to hire, independent management teams and have previously raised, or are currently in the process of raising, third-party dilutive capital. These subsidiaries have active research and development programs and either have entered into or plan to seek a strategic partnership with an equity or debt investment partner, who will provide additional industry knowledge and access to networks, as well as additional funding to continue the pursued growth of the company. As of June 30, 2020 , this segment included Alivio Therapeutics, Inc., Entrega, Inc., Follica, Incorporated, Sonde Health, Inc. and Vedanta Biosciences, Inc. This segment also included Commense Inc. for all periods presented through December 31, 2019 (beginning in 2020, Commense Inc. was an inactive subsidiary).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Non-Controlled Founded Entities</w:t>
      </w:r>
    </w:p>
    <w:p>
      <w:pPr>
        <w:spacing w:after="0" w:line="117"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The Non-Controlled Founded Entities segment (the “Non-Controlled Founded Entities segment”) is comprised of the entities in respect of which PureTech Health (i) no longer holds majority voting control as a shareholder and (ii) no longer has the right to elect a majority of the members of the entity’s Board of Directors. Upon deconsolidation of an entity the segment disclosure is restated to reflect the change on a retrospective basis, as this constitutes a change in the composition of its reportable segments. As of June 30, 2020, the Non-Controlled Founded Entities segment included Akili Interactive Labs, Inc. (“Akili”), Vor Biopharma, Inc. (“Vor”), Karuna Therapeutics, Inc. (“Karuna”), and Gelesis, Inc. (“Gelesis”). This segment also included resTORbio, Inc. (“resTORbio”) for all periods through December 31, 2017.</w:t>
      </w:r>
    </w:p>
    <w:p>
      <w:pPr>
        <w:spacing w:after="0" w:line="178" w:lineRule="exact"/>
        <w:rPr>
          <w:sz w:val="20"/>
          <w:szCs w:val="20"/>
          <w:color w:val="auto"/>
        </w:rPr>
      </w:pPr>
    </w:p>
    <w:p>
      <w:pPr>
        <w:ind w:left="120" w:right="560"/>
        <w:spacing w:after="0" w:line="259" w:lineRule="auto"/>
        <w:rPr>
          <w:sz w:val="20"/>
          <w:szCs w:val="20"/>
          <w:color w:val="auto"/>
        </w:rPr>
      </w:pPr>
      <w:r>
        <w:rPr>
          <w:rFonts w:ascii="Arial" w:cs="Arial" w:eastAsia="Arial" w:hAnsi="Arial"/>
          <w:sz w:val="18"/>
          <w:szCs w:val="18"/>
          <w:color w:val="auto"/>
        </w:rPr>
        <w:t>The Non-Controlled Founded Entities segment incorporates the operational results of the aforementioned entities to the date of deconsolidation. Following the date of deconsolidation, we account for our investment in each entity at the parent level, and therefore the results associated with investment activity following the date of deconsolidation is included in the Parent Company and Other segment (the “Parent Company and Other segment”).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Company and Other segment</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Parent Company and Other segment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This segment also captures the accounting for our holdings in entities for which control has been lost, which is inclusive of the following items: gain on deconsolidation, gain or loss on investments held at fair value, gain on loss of significant influence, and the share of net loss of associates accounted for using the equity method. As of June 30, 2020, this segment included PureTech Health plc, PureTech Health LLC, PureTech Management, Inc. and PureTech Securities Corp., as well as certain other dormant, inactive and shell entities.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w w:val="98"/>
              </w:rPr>
              <w:t>The table below summarizes the entities that comprised each of our segments as of June 30, 2020:</w:t>
            </w:r>
          </w:p>
        </w:tc>
        <w:tc>
          <w:tcPr>
            <w:tcW w:w="1400" w:type="dxa"/>
            <w:vAlign w:val="bottom"/>
          </w:tcPr>
          <w:p>
            <w:pPr>
              <w:spacing w:after="0"/>
              <w:rPr>
                <w:sz w:val="20"/>
                <w:szCs w:val="20"/>
                <w:color w:val="auto"/>
              </w:rPr>
            </w:pPr>
          </w:p>
        </w:tc>
      </w:tr>
      <w:tr>
        <w:trPr>
          <w:trHeight w:val="243"/>
        </w:trPr>
        <w:tc>
          <w:tcPr>
            <w:tcW w:w="17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1"/>
              </w:rPr>
              <w:t>Internal Segment</w:t>
            </w:r>
          </w:p>
        </w:tc>
        <w:tc>
          <w:tcPr>
            <w:tcW w:w="1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PureTech LYT</w:t>
            </w: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PureTech LYT-100,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760" w:type="dxa"/>
            <w:vAlign w:val="bottom"/>
          </w:tcPr>
          <w:p>
            <w:pPr>
              <w:spacing w:after="0"/>
              <w:rPr>
                <w:sz w:val="18"/>
                <w:szCs w:val="18"/>
                <w:color w:val="auto"/>
              </w:rPr>
            </w:pPr>
          </w:p>
        </w:tc>
        <w:tc>
          <w:tcPr>
            <w:tcW w:w="608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Controlled Founded Entities</w:t>
            </w:r>
          </w:p>
        </w:tc>
        <w:tc>
          <w:tcPr>
            <w:tcW w:w="140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Alivio Therapeutics,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Entrega, Inc.</w:t>
            </w:r>
          </w:p>
        </w:tc>
        <w:tc>
          <w:tcPr>
            <w:tcW w:w="140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Follica, Incorporated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Sonde Health, Inc.</w:t>
            </w:r>
          </w:p>
        </w:tc>
        <w:tc>
          <w:tcPr>
            <w:tcW w:w="14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Vedanta Biosciences,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1760" w:type="dxa"/>
            <w:vAlign w:val="bottom"/>
          </w:tcPr>
          <w:p>
            <w:pPr>
              <w:spacing w:after="0"/>
              <w:rPr>
                <w:sz w:val="18"/>
                <w:szCs w:val="18"/>
                <w:color w:val="auto"/>
              </w:rPr>
            </w:pPr>
          </w:p>
        </w:tc>
        <w:tc>
          <w:tcPr>
            <w:tcW w:w="608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Non-Controlled Founded Entities</w:t>
            </w:r>
          </w:p>
        </w:tc>
        <w:tc>
          <w:tcPr>
            <w:tcW w:w="140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Akili Interactive Labs,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Gelesis, Inc.</w:t>
            </w:r>
          </w:p>
        </w:tc>
        <w:tc>
          <w:tcPr>
            <w:tcW w:w="14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Karuna Therapeutics,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Vor Biopharma Inc.</w:t>
            </w:r>
          </w:p>
        </w:tc>
        <w:tc>
          <w:tcPr>
            <w:tcW w:w="14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88"/>
              </w:rPr>
              <w:t xml:space="preserve">Parent Segment </w:t>
            </w:r>
            <w:r>
              <w:rPr>
                <w:rFonts w:ascii="Arial" w:cs="Arial" w:eastAsia="Arial" w:hAnsi="Arial"/>
                <w:sz w:val="15"/>
                <w:szCs w:val="15"/>
                <w:b w:val="1"/>
                <w:bCs w:val="1"/>
                <w:color w:val="auto"/>
                <w:w w:val="88"/>
              </w:rPr>
              <w:t>(1)</w:t>
            </w:r>
          </w:p>
        </w:tc>
        <w:tc>
          <w:tcPr>
            <w:tcW w:w="1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Puretech Health plc</w:t>
            </w: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PureTech Health LLC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7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PureTech Securities Corporation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PureTech Management, Inc.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Includes dormant, inactive and shell entities that are not listed here.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To date, we have not generated any revenue from product sales and we do not expect to generate any revenue from product sales for the foreseeable future. We derive our revenue from the following: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revenue.</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generate revenue primarily from licenses, services and collaboration agreements, including amounts that are recognized related to upfront payments, milestone payments and amounts due to us for research and development services. In the future, revenue may include additional milestone payments and royalties on any net product sales under our collaborations. We expect that any revenue we generate will fluctuate from period to period as a result of the timing and amount of license, research and development services and milestone and other payments.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Grant revenue is derived from grant awards that we receive from governmental agencies and non-profit organizations for certain qualified research and development expenses. We recognize grants from governmental agencies as grant income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Wholly Owned and our Founded Entities’ product candidates, which include:</w:t>
      </w:r>
    </w:p>
    <w:p>
      <w:pPr>
        <w:spacing w:after="0" w:line="76"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equity-based compensation;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of our Wholly Owned and our Founded Entities’ product candidates, including our agreements with contract research organizations, or CROs;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who supplement our internal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and clinical trial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Costs for certain development activities are recognized based on an evaluation of the progress to completion of specific tasks using information and data provided to us by our vendors and third-party service providers.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in connection with our planned preclinical and clinical development activities in the near term and in the future. The successful development of our Wholly Owned and our Founded Entities’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Wholly Owned or our Founded Entities’ product candidates. This is due to the numerous risks and uncertainties associated with developing products, including the uncertainty of:</w:t>
      </w:r>
    </w:p>
    <w:p>
      <w:pPr>
        <w:spacing w:after="0" w:line="84" w:lineRule="exact"/>
        <w:rPr>
          <w:sz w:val="20"/>
          <w:szCs w:val="20"/>
          <w:color w:val="auto"/>
        </w:rPr>
      </w:pPr>
    </w:p>
    <w:p>
      <w:pPr>
        <w:jc w:val="both"/>
        <w:ind w:left="1080" w:right="60" w:hanging="424"/>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progressing research and development of our product pipeline, including LYT-100, LYT-200, LYT-210, LYT-300 and our programs related to lymphatic targeting, oral biotherapeutics and brain and central nervous system lymphatics and other potential product candidates within our Wholly Owned Programs;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investigational new drug application enabling studies to advance our preclinical programs into clinical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success of our Founded Entities and their need for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identifying new product candidates to add to our development pipeline;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successful enrollment in, and the initiation and completion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commercializing our Wholly Owned and our Founded Entities’ product candidates, if approved, whether alone or in collaboration with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as well as any changes in governmental regulations;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as well as obtaining and maintaining regulatory exclusivity for our Wholly Owned and our Founded Entities’ product candidates;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continued acceptable safety profile of our products, if any, following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the U.S. Food and Drug Administration, or FDA, the European Medicines Agency, or EMA, or another comparable foreign regulatory authority may require us to conduct clinical trials beyond those that we anticipate will be required for the completion of clinical development of a product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product candidates or focus on others.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 Owned and our Founded Entities’ product candidates, if approved, may not achieve commercial success.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7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general and administrative headcount to support our continued research and development and potential commercialization of our portfolio of product candidates. We also expect to incur increased expenses associated with being a public company in the United States, including costs of accounting, audit, information systems, legal, regulatory and tax compliance services, director and officer insurance costs and investor and public relations costs.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Other Income/(Loss)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on Deconsolidation</w:t>
      </w:r>
    </w:p>
    <w:p>
      <w:pPr>
        <w:spacing w:after="0" w:line="11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Upon losing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(Loss) on Investments Held at Fair Value</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Investments held at fair value include both unlisted and listed securities held by us, which include investments in Akili, Gelesis, Karuna, Vor, ResTORbio (until its sale in 2020) and certain insignificant investments. Our ownership in Akili, Gelesis and Vor is in preferred shares and our ownership of Karuna was in preferred shares until its IPO in June 2019 when such shares were converted into common shares. When Karuna’s preferred shares converted into common shares, our equity interest in Karuna investment was removed from Investments Held at Fair Value and accounted for under the equity method as we still retained significant influence in Karuna at such time. On December 2, 2019 we lost significant influence in Karuna and, beginning on that date, we accounted for our investment in Karuna in accordance with IFRS 9 as an Investment Held at Fair Value. We account for investments in preferred shares of our associates in accordance with IFRS 9 as Investments Held at Fair Value when the preferred shares do not provide access to returns underlying ownership interests.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on Loss of Significant Influence</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Gain on loss of significant influence relates to the assessment in connection with our ability to exert significant influence over an investment in a Non-Controlled Founded Entity. As of June 30, 2020, only our common share investment in Gelesis meets the scope of equity method accounting. For the years ended December 31, 2019 and 2018, we recognized gains on loss of significant influence in Karuna and resTORbio,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income (expense) consists primarily of gains and losses related to the sale of an asset and certain investments as well as sub-lease income.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Costs/Income</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Finance costs consist of loan interest expense and the changes in the fair value of certain liabilities associated with financing transactions. Finance income consists of interest income on funds invested in U.S. treasuries.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Net Gain (Loss) of Associates Accounted for Using the Equity Method, and Impairment of Investment in Associate</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the share of losses exceeds its net investment in the investee, the carrying amount is reduced to nil and recognition of further losses is discontinued except to the extent that we have incurred legal or constructive obligations or made payments on behalf of an investee.</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compare the recoverable amount of the investment to its carrying amount on a go-forward basis and determines the need for impairment and reversal of impairment losses.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The effect on deferred tax assets and liabilities of a change in income tax rates is recognized in our financial statements in the period that includes the substantive enactment date.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following table, which has been derived from our audited financial statements for the years ended December 31, 2019, 2018 and 2017 and our unaudited condensed consolidated financial statements for the six months ended June 30, 2020 and 2019 included herein, summarizes our results of operations for the periods indicated, together with the changes in those items in dollars: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2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0"/>
                <w:szCs w:val="10"/>
                <w:color w:val="auto"/>
              </w:rPr>
            </w:pPr>
          </w:p>
        </w:tc>
        <w:tc>
          <w:tcPr>
            <w:tcW w:w="720" w:type="dxa"/>
            <w:vAlign w:val="bottom"/>
          </w:tcPr>
          <w:p>
            <w:pPr>
              <w:jc w:val="right"/>
              <w:ind w:right="111"/>
              <w:spacing w:after="0" w:line="119"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(2018 to 2019)</w:t>
            </w:r>
          </w:p>
        </w:tc>
        <w:tc>
          <w:tcPr>
            <w:tcW w:w="9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Contract revenue</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8,688</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16,371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(7,683)</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15,721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Grant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1,885</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2,535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(10,941)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18,213</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(59,358)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(11,993)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(85,848)</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(77,402)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(71,672)</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(8,445)</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0"/>
              </w:rPr>
              <w:t>(135,399)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(104,019)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8"/>
              </w:rPr>
              <w:t>(115,420)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(31,380)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11,401</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Gain/(loss) on deconsolidation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264,409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222,679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(43,286)</w:t>
            </w:r>
          </w:p>
        </w:tc>
        <w:tc>
          <w:tcPr>
            <w:tcW w:w="0" w:type="dxa"/>
            <w:vAlign w:val="bottom"/>
          </w:tcPr>
          <w:p>
            <w:pPr>
              <w:spacing w:after="0"/>
              <w:rPr>
                <w:sz w:val="1"/>
                <w:szCs w:val="1"/>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Gain/(loss) on investments held at fair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(37,863)</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57,334</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(91,949)</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realized on sale of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Loss on impairment of intangible asset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Gain/(loss) on disposal of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(4,142)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Gain on loss of significant influence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445,582</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435,295</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income/(loss)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672,167</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142,364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651,013</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(121,210)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(46,147)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(80,047)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(72,065)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105,964</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Arial" w:cs="Arial" w:eastAsia="Arial" w:hAnsi="Arial"/>
                <w:sz w:val="18"/>
                <w:szCs w:val="18"/>
                <w:color w:val="auto"/>
                <w:w w:val="93"/>
              </w:rPr>
              <w:t>Share of net gain/(loss) of associates accounted for using the equity</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method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30,791</w:t>
            </w: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(11,490)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(17,608)</w:t>
            </w:r>
          </w:p>
        </w:tc>
        <w:tc>
          <w:tcPr>
            <w:tcW w:w="1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42,281</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investment in associate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(42,938)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(42,938)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478,474</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(68,438)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(70,711)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546,911</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(112,409)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(110,188)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income/(loss) including non-controlling interest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366,065</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(70,659)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(75,094)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436,724</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(loss)/income attributable to the Company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421,144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26,472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464,798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(70,126)</w:t>
            </w: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351"/>
              <w:spacing w:after="0"/>
              <w:rPr>
                <w:sz w:val="20"/>
                <w:szCs w:val="20"/>
                <w:color w:val="auto"/>
              </w:rPr>
            </w:pPr>
            <w:r>
              <w:rPr>
                <w:rFonts w:ascii="Arial" w:cs="Arial" w:eastAsia="Arial" w:hAnsi="Arial"/>
                <w:sz w:val="18"/>
                <w:szCs w:val="18"/>
                <w:color w:val="auto"/>
                <w:w w:val="99"/>
              </w:rPr>
              <w:t>205</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10"/>
          </w:tcPr>
          <w:p>
            <w:pPr>
              <w:ind w:left="24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80" w:type="dxa"/>
            <w:vAlign w:val="bottom"/>
            <w:gridSpan w:val="2"/>
            <w:vMerge w:val="restart"/>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6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Contract revenue</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5,465</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3,955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rPr>
              <w:t>Grant revenue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333"/>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6,844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2,457</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273"/>
              <w:spacing w:after="0"/>
              <w:rPr>
                <w:sz w:val="20"/>
                <w:szCs w:val="20"/>
                <w:color w:val="auto"/>
              </w:rPr>
            </w:pPr>
            <w:r>
              <w:rPr>
                <w:rFonts w:ascii="Arial" w:cs="Arial" w:eastAsia="Arial" w:hAnsi="Arial"/>
                <w:sz w:val="18"/>
                <w:szCs w:val="18"/>
                <w:color w:val="auto"/>
              </w:rPr>
              <w:t>(21,376)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(29,196)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16"/>
        </w:trPr>
        <w:tc>
          <w:tcPr>
            <w:tcW w:w="6560" w:type="dxa"/>
            <w:vAlign w:val="bottom"/>
            <w:gridSpan w:val="3"/>
          </w:tcPr>
          <w:p>
            <w:pPr>
              <w:ind w:left="36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4"/>
          </w:tcPr>
          <w:p>
            <w:pPr>
              <w:jc w:val="right"/>
              <w:ind w:right="273"/>
              <w:spacing w:after="0"/>
              <w:rPr>
                <w:sz w:val="20"/>
                <w:szCs w:val="20"/>
                <w:color w:val="auto"/>
              </w:rPr>
            </w:pPr>
            <w:r>
              <w:rPr>
                <w:rFonts w:ascii="Arial" w:cs="Arial" w:eastAsia="Arial" w:hAnsi="Arial"/>
                <w:sz w:val="18"/>
                <w:szCs w:val="18"/>
                <w:color w:val="auto"/>
              </w:rPr>
              <w:t>(38,250)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(45,507)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(52,782)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(70,317)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17,534</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color w:val="auto"/>
              </w:rPr>
              <w:t>Other income/(expense):</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Gain on deconsolidation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108,395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(108,395)</w:t>
            </w:r>
          </w:p>
        </w:tc>
        <w:tc>
          <w:tcPr>
            <w:tcW w:w="0" w:type="dxa"/>
            <w:vAlign w:val="bottom"/>
          </w:tcPr>
          <w:p>
            <w:pPr>
              <w:spacing w:after="0"/>
              <w:rPr>
                <w:sz w:val="1"/>
                <w:szCs w:val="1"/>
                <w:color w:val="auto"/>
              </w:rPr>
            </w:pPr>
          </w:p>
        </w:tc>
      </w:tr>
      <w:tr>
        <w:trPr>
          <w:trHeight w:val="216"/>
        </w:trPr>
        <w:tc>
          <w:tcPr>
            <w:tcW w:w="6560" w:type="dxa"/>
            <w:vAlign w:val="bottom"/>
            <w:gridSpan w:val="3"/>
          </w:tcPr>
          <w:p>
            <w:pPr>
              <w:ind w:left="360"/>
              <w:spacing w:after="0"/>
              <w:rPr>
                <w:sz w:val="20"/>
                <w:szCs w:val="20"/>
                <w:color w:val="auto"/>
              </w:rPr>
            </w:pPr>
            <w:r>
              <w:rPr>
                <w:rFonts w:ascii="Arial" w:cs="Arial" w:eastAsia="Arial" w:hAnsi="Arial"/>
                <w:sz w:val="18"/>
                <w:szCs w:val="18"/>
                <w:color w:val="auto"/>
              </w:rPr>
              <w:t>Gain/(loss) on investments held at fair value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tcPr>
          <w:p>
            <w:pPr>
              <w:jc w:val="right"/>
              <w:ind w:right="333"/>
              <w:spacing w:after="0"/>
              <w:rPr>
                <w:sz w:val="20"/>
                <w:szCs w:val="20"/>
                <w:color w:val="auto"/>
              </w:rPr>
            </w:pPr>
            <w:r>
              <w:rPr>
                <w:rFonts w:ascii="Arial" w:cs="Arial" w:eastAsia="Arial" w:hAnsi="Arial"/>
                <w:sz w:val="18"/>
                <w:szCs w:val="18"/>
                <w:color w:val="auto"/>
              </w:rPr>
              <w:t>276,910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52,375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224,535</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Loss realized on sale of investment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273"/>
              <w:spacing w:after="0"/>
              <w:rPr>
                <w:sz w:val="20"/>
                <w:szCs w:val="20"/>
                <w:color w:val="auto"/>
              </w:rPr>
            </w:pPr>
            <w:r>
              <w:rPr>
                <w:rFonts w:ascii="Arial" w:cs="Arial" w:eastAsia="Arial" w:hAnsi="Arial"/>
                <w:sz w:val="18"/>
                <w:szCs w:val="18"/>
                <w:color w:val="auto"/>
              </w:rPr>
              <w:t>(44,539)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(44,539)</w:t>
            </w:r>
          </w:p>
        </w:tc>
        <w:tc>
          <w:tcPr>
            <w:tcW w:w="0" w:type="dxa"/>
            <w:vAlign w:val="bottom"/>
          </w:tcPr>
          <w:p>
            <w:pPr>
              <w:spacing w:after="0"/>
              <w:rPr>
                <w:sz w:val="1"/>
                <w:szCs w:val="1"/>
                <w:color w:val="auto"/>
              </w:rPr>
            </w:pPr>
          </w:p>
        </w:tc>
      </w:tr>
      <w:tr>
        <w:trPr>
          <w:trHeight w:val="216"/>
        </w:trPr>
        <w:tc>
          <w:tcPr>
            <w:tcW w:w="6560" w:type="dxa"/>
            <w:vAlign w:val="bottom"/>
            <w:gridSpan w:val="3"/>
          </w:tcPr>
          <w:p>
            <w:pPr>
              <w:ind w:left="360"/>
              <w:spacing w:after="0"/>
              <w:rPr>
                <w:sz w:val="20"/>
                <w:szCs w:val="20"/>
                <w:color w:val="auto"/>
              </w:rPr>
            </w:pPr>
            <w:r>
              <w:rPr>
                <w:rFonts w:ascii="Arial" w:cs="Arial" w:eastAsia="Arial" w:hAnsi="Arial"/>
                <w:sz w:val="18"/>
                <w:szCs w:val="18"/>
                <w:color w:val="auto"/>
              </w:rPr>
              <w:t>Loss on impairment of intangible asset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Gain/(loss) on disposal of assets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3"/>
          </w:tcPr>
          <w:p>
            <w:pPr>
              <w:ind w:left="360"/>
              <w:spacing w:after="0"/>
              <w:rPr>
                <w:sz w:val="20"/>
                <w:szCs w:val="20"/>
                <w:color w:val="auto"/>
              </w:rPr>
            </w:pPr>
            <w:r>
              <w:rPr>
                <w:rFonts w:ascii="Arial" w:cs="Arial" w:eastAsia="Arial" w:hAnsi="Arial"/>
                <w:sz w:val="18"/>
                <w:szCs w:val="18"/>
                <w:color w:val="auto"/>
              </w:rPr>
              <w:t>Gain on loss of significant influence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income/(expense)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33"/>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Other income/(loss)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232,852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160,729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finance income/(costs)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1,685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(34,126)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35,811</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color w:val="auto"/>
              </w:rPr>
              <w:t>Share of net gain/(loss) of associates accounted for using the equity method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(7,271)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of investment in associate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Income/(loss) before income taxes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174,483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118,196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273"/>
              <w:spacing w:after="0"/>
              <w:rPr>
                <w:sz w:val="20"/>
                <w:szCs w:val="20"/>
                <w:color w:val="auto"/>
              </w:rPr>
            </w:pPr>
            <w:r>
              <w:rPr>
                <w:rFonts w:ascii="Arial" w:cs="Arial" w:eastAsia="Arial" w:hAnsi="Arial"/>
                <w:sz w:val="18"/>
                <w:szCs w:val="18"/>
                <w:color w:val="auto"/>
              </w:rPr>
              <w:t>(50,775)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(25,142)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(25,633)</w:t>
            </w:r>
          </w:p>
        </w:tc>
        <w:tc>
          <w:tcPr>
            <w:tcW w:w="0" w:type="dxa"/>
            <w:vAlign w:val="bottom"/>
          </w:tcPr>
          <w:p>
            <w:pPr>
              <w:spacing w:after="0"/>
              <w:rPr>
                <w:sz w:val="1"/>
                <w:szCs w:val="1"/>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Net income/(loss) including non-controlling interest</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123,708</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(loss)/income attributable to the Company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333"/>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123,957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73,506</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50,450</w:t>
            </w:r>
          </w:p>
        </w:tc>
        <w:tc>
          <w:tcPr>
            <w:tcW w:w="0" w:type="dxa"/>
            <w:vAlign w:val="bottom"/>
          </w:tcPr>
          <w:p>
            <w:pPr>
              <w:spacing w:after="0"/>
              <w:rPr>
                <w:sz w:val="1"/>
                <w:szCs w:val="1"/>
                <w:color w:val="auto"/>
              </w:rPr>
            </w:pPr>
          </w:p>
        </w:tc>
      </w:tr>
      <w:tr>
        <w:trPr>
          <w:trHeight w:val="547"/>
        </w:trPr>
        <w:tc>
          <w:tcPr>
            <w:tcW w:w="6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gridSpan w:val="3"/>
          </w:tcPr>
          <w:p>
            <w:pPr>
              <w:spacing w:after="0"/>
              <w:rPr>
                <w:sz w:val="20"/>
                <w:szCs w:val="20"/>
                <w:color w:val="auto"/>
              </w:rPr>
            </w:pPr>
            <w:r>
              <w:rPr>
                <w:rFonts w:ascii="Arial" w:cs="Arial" w:eastAsia="Arial" w:hAnsi="Arial"/>
                <w:sz w:val="18"/>
                <w:szCs w:val="18"/>
                <w:i w:val="1"/>
                <w:iCs w:val="1"/>
                <w:color w:val="auto"/>
              </w:rPr>
              <w:t>Total Revenue</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800" w:type="dxa"/>
            <w:vAlign w:val="bottom"/>
            <w:vMerge w:val="restart"/>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 Revenue:</w:t>
            </w:r>
          </w:p>
        </w:tc>
        <w:tc>
          <w:tcPr>
            <w:tcW w:w="9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$ 2,110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14,233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 Contract Revenue</w:t>
            </w:r>
          </w:p>
        </w:tc>
        <w:tc>
          <w:tcPr>
            <w:tcW w:w="940" w:type="dxa"/>
            <w:vAlign w:val="bottom"/>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16,371</w:t>
            </w:r>
          </w:p>
        </w:tc>
        <w:tc>
          <w:tcPr>
            <w:tcW w:w="4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650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15,721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630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 Grant Revenue</w:t>
            </w:r>
          </w:p>
        </w:tc>
        <w:tc>
          <w:tcPr>
            <w:tcW w:w="9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4,377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$ 2,492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560" w:type="dxa"/>
            <w:vAlign w:val="bottom"/>
            <w:gridSpan w:val="3"/>
          </w:tcPr>
          <w:p>
            <w:pPr>
              <w:ind w:left="5360"/>
              <w:spacing w:after="0"/>
              <w:rPr>
                <w:sz w:val="20"/>
                <w:szCs w:val="20"/>
                <w:color w:val="auto"/>
              </w:rPr>
            </w:pPr>
            <w:r>
              <w:rPr>
                <w:rFonts w:ascii="Arial" w:cs="Arial" w:eastAsia="Arial" w:hAnsi="Arial"/>
                <w:sz w:val="18"/>
                <w:szCs w:val="18"/>
                <w:color w:val="auto"/>
              </w:rPr>
              <w:t>206</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Our total revenue was $20.7 million for the year ended December 31, 2018, an increase of $18.2 million, or 718.5 percent compared to the year ended December 31, 2017. The growth was attributable to increases of $13.6 million in contract revenue and $3.0 million in grant revenue in the Controlled Founded Entities segment for the year ended December 31, 2018, which was driven primarily by contract revenue earned under Vedanta’s milestone-based JBI collaboration agreement and its CARB-X grant agreement. The growth was further attributable to an increase of $2.1 million in revenue earned in the Internal segment under the Orasome collaboration and license agreement with Roche for the year ended December 31,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(8,929)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1"/>
              <w:spacing w:after="0"/>
              <w:rPr>
                <w:sz w:val="20"/>
                <w:szCs w:val="20"/>
                <w:color w:val="auto"/>
              </w:rPr>
            </w:pPr>
            <w:r>
              <w:rPr>
                <w:rFonts w:ascii="Arial" w:cs="Arial" w:eastAsia="Arial" w:hAnsi="Arial"/>
                <w:sz w:val="18"/>
                <w:szCs w:val="18"/>
                <w:color w:val="auto"/>
              </w:rPr>
              <w:t>(1,515)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(36,930)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89"/>
              </w:rPr>
              <w:t>(25,553)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(29,851)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1"/>
              <w:spacing w:after="0"/>
              <w:rPr>
                <w:sz w:val="20"/>
                <w:szCs w:val="20"/>
                <w:color w:val="auto"/>
              </w:rPr>
            </w:pPr>
            <w:r>
              <w:rPr>
                <w:rFonts w:ascii="Arial" w:cs="Arial" w:eastAsia="Arial" w:hAnsi="Arial"/>
                <w:sz w:val="18"/>
                <w:szCs w:val="18"/>
                <w:color w:val="auto"/>
                <w:w w:val="89"/>
              </w:rPr>
              <w:t>(41,395)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(11,544)</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(3,209)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(77,402</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(71,672</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Our research and development expenses were $77.4 million for the year ended December 31, 2018, an increase of $5.7 million, or 8.0 percent compared to the year ended December 31, 2017. The change was attributable to increases of $7.4 million in the Internal segment and $11.4 million in the Controlled Founded entities segment for the year ended December 31, 2018, which were primarily due to increased headcount and increased clinical trial expense. The increases were offset partially by a decline of $11.5 million owing to the deconsolidation of resTORbio during the year ended December 31, 2017 and the deconsolidation of Akili during the year ended December 31, 2018.</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5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5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(1,498)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1"/>
              <w:spacing w:after="0"/>
              <w:rPr>
                <w:sz w:val="20"/>
                <w:szCs w:val="20"/>
                <w:color w:val="auto"/>
              </w:rPr>
            </w:pPr>
            <w:r>
              <w:rPr>
                <w:rFonts w:ascii="Arial" w:cs="Arial" w:eastAsia="Arial" w:hAnsi="Arial"/>
                <w:sz w:val="18"/>
                <w:szCs w:val="18"/>
                <w:color w:val="auto"/>
              </w:rPr>
              <w:t>(402)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(10,212)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9"/>
              </w:rPr>
              <w:t>(10,671)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638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(16,385)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color w:val="auto"/>
                <w:w w:val="89"/>
              </w:rPr>
              <w:t>(17,064)</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(19,270)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9"/>
              </w:rPr>
              <w:t>(18,146)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(47,365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(46,283</w:t>
            </w:r>
          </w:p>
        </w:tc>
        <w:tc>
          <w:tcPr>
            <w:tcW w:w="420" w:type="dxa"/>
            <w:vAlign w:val="bottom"/>
          </w:tcPr>
          <w:p>
            <w:pPr>
              <w:jc w:val="right"/>
              <w:ind w:right="341"/>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Our general and administrative expenses were $47.4 million for the year ended December 31, 2018, an increase of $1.1 million, or 2.3 percent compared to the year ended December 31, 2017. The change was attributable to increases of $1.1 million in the Parent segment and $1.1 million in the Internal segment, which were primarily due to increased headcount and increased professional fees. The increases were partially offset by a decline of</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$0.7 million in the Non-Controlled Founded Entities segment, primarily owing to the deconsolidation of resTORbio during the year ended December 31, 2017 and the deconsolidation of Akili during the year ended December 31, 2018, as well as a decline of $0.5 million in the Controlled Founded Entities segment for year ended December 31, 2018.</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(Loss)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Total other income was $21.2 million for the year ended December 31, 2018, a decrease of $121.2 million, or 85.1 percent as compared to the year ended December 31, 2017. The decline was attributable to a $91.9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increase in fair value accounting losses on certain investments held at fair value for the year ended December 31, 2018 and a $43.3 million decline in gain on deconsolidation as we recognized a gain of $41.7 million for the deconsolidation of Akili during the year ended December 31, 2018 compared to a gain of $85.0 million for the deconsolidation of resTORbio during the year ended December 31, 2017. The decline was partially offset by gains of $10.3 million on loss of significant influence of resTORbio and $4.1 million on disposal of assets for the year ended December 31, 2018.</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Finance Income (Costs)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Net finance income was $25.9 million for the year ended December 31, 2018, an increase of $106.0 million in income, or 132.4 percent as compared to the year ended December 31, 2017. The income growth was attributable to a $103.8 million decline in the change in the fair value of our preferred shares, warrant and convertible note liabilities held by third parties for the year ended December 31,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of Net Gain (Loss) in Associates Accounted for Using the Equity Method, and Impairment of Investment in Associate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share of net loss in associates was $11.5 million for the year ended year ended December 31, 2018, a decline of $6.1 million, or 34.7 percent as compared to the year ended December 31, 2017. The decline in share of associate net loss was attributable to the results of resTORbio for the year ended December 31,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Income tax expense was $2.2 million for the year ended December 31, 2018, a decrease of $2.2 million, or 49.3 percent as compared to the year ended December 31, 2017. The decline in income tax expense was primarily attributable to the enactment of the Tax Cuts and Jobs Act of 2017 by U.S. Congress in November 2017 and subsequent tax provision benefits realized for the year ended December 31, 2018.</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Revenue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8"/>
          </w:tcPr>
          <w:p>
            <w:pPr>
              <w:jc w:val="right"/>
              <w:ind w:right="54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6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 Revenue: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Total Contract Revenue</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8,688</w:t>
            </w:r>
          </w:p>
        </w:tc>
        <w:tc>
          <w:tcPr>
            <w:tcW w:w="4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16,371</w:t>
            </w:r>
          </w:p>
        </w:tc>
        <w:tc>
          <w:tcPr>
            <w:tcW w:w="4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Total Grant Revenue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1,119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Our total revenue was $9.8 million for the year ended December 31, 2019, a decrease of $10.9 million, or 52.7 percent compared to the year ended December 31, 2018. The decline was attributable to decreases of $11.7 million in contract revenue and $3.2 million in grant revenue in the Controlled Founded Entities segment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for the year ended December 31, 2019, which was driven primarily by Vedanta’s contract revenue earned under its milestone-based JBI collaboration agreement and grant revenue earned pursuant to its CARB-X agreement. The decline in Controlled Founded Entities segment’s contract and grant revenues, was partially offset by a $4.0 million increase in contract revenue in the Internal segment, which was driven by increases in contract revenue earned under the Orasome collaboration and license agreement with Roche and the Lymphatic Targeting platform collaboration and license agreement with Boehringer Ingelheim entered into in July 2019 for the year ended December 31,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0"/>
              </w:rPr>
              <w:t>$(25,977)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rPr>
              <w:t>(8,929)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2"/>
              </w:rPr>
              <w:t>(36,930)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(15,555)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w w:val="92"/>
              </w:rPr>
              <w:t>(29,851)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(14,296)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(1,692)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(85,848</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(77,402</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research and development expenses were $85.8 million for the year ended December 31, 2019, an increase of $8.4 million, or 10.9 percent compared to the year ended December 31, 2018. The change was attributable to an increase of $17.0 million in research and development expenses incurred by the Internal segment for the year ended December 31, 2019. In 2019, we continued to shift our focus towards the Internal segment, investing in research and development activities to advance a wholly owned pipeline of lymphatic system and related immuno-oncology programs. We progressed LYT-100 to first patient dosing in 2020 and prepared for LYT-200 to begin a Phase 1 clinical study in solid tumors during the second half of 2020. Research and development expenses in the Controlled Founded Entities segment also increased $5.9 million, as Vedanta progressed its candidates VE202, VE303, VE416 and VE800 to meaningful milestones. The increases were partially offset by a decline of $14.3 million in the Non-Controlled Founded Entities segment owing to the deconsolidation of Akili during the year ended December 31, 2018 and the deconsolidation of Vor, Karuna and Gelesis during the year ended December 31,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4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(2,385)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1"/>
              <w:spacing w:after="0"/>
              <w:rPr>
                <w:sz w:val="20"/>
                <w:szCs w:val="20"/>
                <w:color w:val="auto"/>
              </w:rPr>
            </w:pPr>
            <w:r>
              <w:rPr>
                <w:rFonts w:ascii="Arial" w:cs="Arial" w:eastAsia="Arial" w:hAnsi="Arial"/>
                <w:sz w:val="18"/>
                <w:szCs w:val="18"/>
                <w:color w:val="auto"/>
              </w:rPr>
              <w:t>(1,498)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(14,436)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w w:val="89"/>
              </w:rPr>
              <w:t>(10,212)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(10,439)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1"/>
              <w:spacing w:after="0"/>
              <w:rPr>
                <w:sz w:val="20"/>
                <w:szCs w:val="20"/>
                <w:color w:val="auto"/>
              </w:rPr>
            </w:pPr>
            <w:r>
              <w:rPr>
                <w:rFonts w:ascii="Arial" w:cs="Arial" w:eastAsia="Arial" w:hAnsi="Arial"/>
                <w:sz w:val="18"/>
                <w:szCs w:val="18"/>
                <w:color w:val="auto"/>
                <w:w w:val="89"/>
              </w:rPr>
              <w:t>(16,385)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(5,946)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9"/>
              </w:rPr>
              <w:t>(32,098)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w w:val="89"/>
              </w:rPr>
              <w:t>(19,270)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(59,358</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(47,365</w:t>
            </w:r>
          </w:p>
        </w:tc>
        <w:tc>
          <w:tcPr>
            <w:tcW w:w="440" w:type="dxa"/>
            <w:vAlign w:val="bottom"/>
          </w:tcPr>
          <w:p>
            <w:pPr>
              <w:jc w:val="right"/>
              <w:ind w:right="301"/>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 xml:space="preserve">Our general and administrative expenses were $59.4 million for the year ended December 31, 2019, an increase of $12.0 million, or 25.3 percent compared to the year ended December 31, 2018. The change was attributable to an increase of $12.8 million in the Parent segment for the year ended December 31, 2019, which was primarily driven by increased professional fees incurred in the exploration of an ADR listing and increased non-cash depreciation and amortization expenses incurred in the implementation of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the lease we entered into during the year ended December 31, 2019 for our new headquarters. Controlled Founded Entities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segment’s general and administrative expenses also increased $4.2 million. The increases in the Internal and Controlled Founded Entities segment’s were offset by the deconsolidation of Akili during the year ended December 31, 2018 and the deconsolidation of Vor, Karuna and Gelesis during the year ended December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(Loss)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Total other income was $672.2 million for the year ended December 31, 2019, an increase of $651.0 million, as compared to the year ended December 31, 2018. The growth was attributable to an increase of $435.3 million in gain on loss of significant influence for the year ended December 31, 2019. For the year ended December 31, 2019 we recognized a gain on loss of significant influence of $445.6 million with respect to Karuna, while for the year ended December 31, 2018 we recognized a gain on loss of significant influence of $10.3 million with respect to resTORbio. The growth was further attributable to an increase of $222.7 million in gain on deconsolidation as we recognized a gain of $264.4 million for the deconsolidation of Vor, Karuna and Gelesis during the year ended December 31, 2019, as compared to a gain of $41.7 million for the deconsolidation of Akili during the year ended December 31, 2018. The gains were partially offset by a decline of $4.1 million in income related to asset disposals and an increase in fair value accounting losses of $3.2 million on certain investments held at fair value for the year ended December 31, 2019.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Finance Income (Costs)</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Net finance costs were $46.1 million for the year ended December 31, 2019, an increase of $72.1 million in costs, or 278.1 percent compared to net finance income of $25.9 million for the year ended December 31, 2018. The change was primarily attributable to a $69.1 million increase in the change in the fair value of our preferred shares, warrant and convertible note liabilities held by third parties for the year ended December 31,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of Net Gain (Loss) in Associates Accounted for Using the Equity Method, and Impairment of Investment in Associate</w:t>
      </w:r>
    </w:p>
    <w:p>
      <w:pPr>
        <w:spacing w:after="0" w:line="117"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The share of net income in associates was $30.8 million for the year ended December 31, 2019, an increase of $42.3 million, or 368.0 percent as compared to a net loss for the year ended December 31, 2018. The change in associate income was attributable to the deconsolidation of Karuna and Gelesis and subsequent equity method accounting from the date of deconsolidation to December 31, 2019. We recorded equity method income of $37.1 million with respect to Gelesis, which was partially offset by our share of net loss in Karuna of $6.3 million for the year ended December 31, 2019. Additionally, we recorded an impairment charge of $42.9 million for the year ended December 31, 2019, related to our investment in common shares held in Gelesis. See Note 6 to the financial statements for the year ended December 31, 2019 included elsewhere in this registration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Income tax expense was $112.4 million for the year ended December 31, 2019, an increase of $110.2 million, or 4961.2 percent as compared to the year ended December 31, 2018. The growth in income tax expense was primarily attributable to the gains realized on the loss of significant influence on Karuna for the year ended December 31, 2019 and the gains recognized on deconsolidation of Vor, Karuna and Gelesis during the year ended December 31,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2020 and June 30,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Revenue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6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2020</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Contract Revenue: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3,916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2,479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Total Contract Revenue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5,465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3,955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Total Grant Revenue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1,379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total revenue was $6.8 million for the six months ended June 30, 2020, an increase of $2.5 million, or 56.0 percent compared to the six months ended June 30, 2019. The growth was attributable to an increase in Internal segment contract revenue of $1.4 million, which was primarily driven by $2.4 million earned under the Lymphatic Targeting platform collaboration and license agreement with Boehringer Ingelheim entered into in July 2019, and was partially offset by a $1.0 million decrease in revenue earned under the Orasome collaboration and license agreement with Roche for the six months ended June 30, 2020. The growth in contract revenue was further augmented by increases in Controlled Founded Entities segment’s grant revenue of $1.0 million, which was driven by $0.5 million and $0.4 million increases in grant revenue earned by Alivio and Vedanta, respectively, for the six months ended June 30, 2020.</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5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92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980" w:type="dxa"/>
            <w:vAlign w:val="bottom"/>
            <w:gridSpan w:val="3"/>
          </w:tcPr>
          <w:p>
            <w:pPr>
              <w:jc w:val="right"/>
              <w:ind w:right="185"/>
              <w:spacing w:after="0"/>
              <w:rPr>
                <w:sz w:val="20"/>
                <w:szCs w:val="20"/>
                <w:color w:val="auto"/>
              </w:rPr>
            </w:pPr>
            <w:r>
              <w:rPr>
                <w:rFonts w:ascii="Arial" w:cs="Arial" w:eastAsia="Arial" w:hAnsi="Arial"/>
                <w:sz w:val="18"/>
                <w:szCs w:val="18"/>
                <w:color w:val="auto"/>
                <w:w w:val="90"/>
              </w:rPr>
              <w:t>$(17,616)</w:t>
            </w:r>
          </w:p>
        </w:tc>
        <w:tc>
          <w:tcPr>
            <w:tcW w:w="1460" w:type="dxa"/>
            <w:vAlign w:val="bottom"/>
            <w:gridSpan w:val="3"/>
          </w:tcPr>
          <w:p>
            <w:pPr>
              <w:jc w:val="right"/>
              <w:ind w:right="401"/>
              <w:spacing w:after="0"/>
              <w:rPr>
                <w:sz w:val="20"/>
                <w:szCs w:val="20"/>
                <w:color w:val="auto"/>
              </w:rPr>
            </w:pPr>
            <w:r>
              <w:rPr>
                <w:rFonts w:ascii="Arial" w:cs="Arial" w:eastAsia="Arial" w:hAnsi="Arial"/>
                <w:sz w:val="18"/>
                <w:szCs w:val="18"/>
                <w:color w:val="auto"/>
              </w:rPr>
              <w:t>$(10,757)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98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(20,594)</w:t>
            </w:r>
          </w:p>
        </w:tc>
        <w:tc>
          <w:tcPr>
            <w:tcW w:w="14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(18,534)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9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01"/>
              <w:spacing w:after="0"/>
              <w:rPr>
                <w:sz w:val="20"/>
                <w:szCs w:val="20"/>
                <w:color w:val="auto"/>
              </w:rPr>
            </w:pPr>
            <w:r>
              <w:rPr>
                <w:rFonts w:ascii="Arial" w:cs="Arial" w:eastAsia="Arial" w:hAnsi="Arial"/>
                <w:sz w:val="18"/>
                <w:szCs w:val="18"/>
                <w:color w:val="auto"/>
              </w:rPr>
              <w:t>(15,555)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(15,555)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98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(40)</w:t>
            </w:r>
          </w:p>
        </w:tc>
        <w:tc>
          <w:tcPr>
            <w:tcW w:w="14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(662)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(38,250</w:t>
            </w:r>
          </w:p>
        </w:tc>
        <w:tc>
          <w:tcPr>
            <w:tcW w:w="320" w:type="dxa"/>
            <w:vAlign w:val="bottom"/>
          </w:tcPr>
          <w:p>
            <w:pPr>
              <w:jc w:val="right"/>
              <w:ind w:right="185"/>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(45,507</w:t>
            </w:r>
          </w:p>
        </w:tc>
        <w:tc>
          <w:tcPr>
            <w:tcW w:w="540" w:type="dxa"/>
            <w:vAlign w:val="bottom"/>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research and development expenses were $38.3 million for the six months ended June 30, 2020, a decrease of $7.3 million, or 15.9 percent as compared to the six months ended June 30, 2019. The decrease was attributable to the deconsolidation of Vor and Karuna during the six months ended June 30, 2019 and Gelesis during the six months ended December 31, 2019. The decline owing to deconsolidation was partially offset, primarily, by an increase of $6.9 million in the Internal segment during the six months ended June 30, 2020. We progressed LYT-100 to first patient dosing in a Phase 1 multiple ascending dose study in March 2020 and plan to initiate a proof-of-concept study for the treatment of breast cancer-related, upper limb secondary lymphedema later in 2020. We also advanced LYT-100 towards first patient dosing in a Phase 1 trial which is anticipated to begin in the second half of 2020 for the treatment of Long COVID respiratory complications and related sequelae. Additionally, we further prepared LYT-200 for first patient dosing in its Phase 1 trial for solid tumors which is anticipated to begin in 2020.</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00"/>
          </w:cols>
          <w:pgMar w:left="320" w:top="459" w:right="5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Internal Segment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5"/>
              <w:spacing w:after="0"/>
              <w:rPr>
                <w:sz w:val="20"/>
                <w:szCs w:val="20"/>
                <w:color w:val="auto"/>
              </w:rPr>
            </w:pPr>
            <w:r>
              <w:rPr>
                <w:rFonts w:ascii="Arial" w:cs="Arial" w:eastAsia="Arial" w:hAnsi="Arial"/>
                <w:sz w:val="18"/>
                <w:szCs w:val="18"/>
                <w:color w:val="auto"/>
              </w:rPr>
              <w:t>(1,495)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1"/>
              <w:spacing w:after="0"/>
              <w:rPr>
                <w:sz w:val="20"/>
                <w:szCs w:val="20"/>
                <w:color w:val="auto"/>
              </w:rPr>
            </w:pPr>
            <w:r>
              <w:rPr>
                <w:rFonts w:ascii="Arial" w:cs="Arial" w:eastAsia="Arial" w:hAnsi="Arial"/>
                <w:sz w:val="18"/>
                <w:szCs w:val="18"/>
                <w:color w:val="auto"/>
              </w:rPr>
              <w:t>(1,157)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Controlled Founded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(6,229)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(6,391)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Non-Controlled Founded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1"/>
              <w:spacing w:after="0"/>
              <w:rPr>
                <w:sz w:val="20"/>
                <w:szCs w:val="20"/>
                <w:color w:val="auto"/>
              </w:rPr>
            </w:pPr>
            <w:r>
              <w:rPr>
                <w:rFonts w:ascii="Arial" w:cs="Arial" w:eastAsia="Arial" w:hAnsi="Arial"/>
                <w:sz w:val="18"/>
                <w:szCs w:val="18"/>
                <w:color w:val="auto"/>
                <w:w w:val="92"/>
              </w:rPr>
              <w:t>(10,439)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(10,439)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Parent Company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89"/>
              </w:rPr>
              <w:t>(13,652)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2"/>
              </w:rPr>
              <w:t>(11,210)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(21,376</w:t>
            </w:r>
          </w:p>
        </w:tc>
        <w:tc>
          <w:tcPr>
            <w:tcW w:w="320" w:type="dxa"/>
            <w:vAlign w:val="bottom"/>
          </w:tcPr>
          <w:p>
            <w:pPr>
              <w:jc w:val="right"/>
              <w:ind w:right="185"/>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(29,196</w:t>
            </w:r>
          </w:p>
        </w:tc>
        <w:tc>
          <w:tcPr>
            <w:tcW w:w="540" w:type="dxa"/>
            <w:vAlign w:val="bottom"/>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general and administrative expenses were $21.4 million for the six months ended June 30, 2020, a decrease of $7.8 million or 26.8 percent as compared to the six months ended June 30, 2019. The decrease was attributable to the decline in general and administrative expenses within the Non-Controlled Founded Entities segment owing to the deconsolidation of Vor and Karuna during the six months ended June 30, 2019 and Gelesis during the six months ended December 31, 2019. The decline was partially offset by growth of $2.4 million in the Parent segment, which was primarily driven by non-cash increases of $1.5 million in stock based compensation expense and $0.7 million in depreciation expense for the six months ended June 30,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(Loss)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Total other income was $232.9 million for the six months ended June 30, 2020, an increase of $72.1 million, or 44.9 percent as compared to the six months ended June 30, 2019. The growth in other income was attributable to an increase in fair value accounting gains of $224.5 on certain investments held at fair value, which was partially offset by a decline in gain on deconsolidation of $108.4 million for the six months ended June 30, 2020. During the six months ended June 30, 2019 we recognized a gain of $108.4 million for the deconsolidation of Vor and Karuna, while during the six months ended June 30, 2020 we recognized no deconsolidation related income or losses. The growth in other income was further offset by $44.5 million in realized losses owing to blockage discount on the sale of Karuna shares for the six months ended June 30, 2020.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Finance Income (Costs)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Total net finance income was $1.7 million for the six months ended June 30, 2020, as compared to net finance costs of $34.1 million for the six months ended June 30, 2019, an increase in income of $35.8 million, or 104.9 percent as compared to the six months ended June 30, 2019. The increase in finance income was primarily attributable to a $34.8 million decline in losses resulting from the change in fair value of our subsidiary preferred shares, warrant and convertible note liabilities held by third parties for the six months ended June 30,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of Net Gain (Loss) in Associates Accounted for Using the Equity Method, and Impairment of Investment in Associate</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share of net loss in associates was $7.3 million for the six months ended June 30, 2020, an increase of $7.3 million as compared to the six months ended June 30, 2019. The growth in associate loss was attributable to the deconsolidation of Gelesis during the six months ended December 31, 2019 and subsequent equity method accounting for the six months ended June 30,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Income tax expense was $50.8 million for the six months ended June 30, 2020, an increase of $25.6 million, or 102.0 percent as compared to the six months ended June 30, 2019. The growth in income tax expense was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primarily attributable to fair value accounting gains on certain investments held at fair value for the six months ended June 30,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IFRS as issued by the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18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2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While our significant accounting policies are described in more detail in the notes to our consolidated financial statements appearing at the end of this registration statement, we believe the following accounting policies to be most critical to the judgments and estimates used in the preparation of our financial statements. See Note 1 to our consolidated financial statements for a further detailed description of our significant accounting policies.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account for our financial instruments according to IFRS 9. As such, when issuing preferred shares in our subsidiaries we determine the classification of financial instruments in terms of liability or equity. Such determination involves significant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and whether that obligation will be settled by exchanging a fixed amount of cash or other financial assets for a fixed number of its own equity instruments.</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accordance with IFRS 9 we carry certain investments in equity securities at fair value as well as our subsidiary preferred share, convertible notes and warrant liabilities, all through profit and loss (FVTPL). Valuation of the aforementioned financial instruments (assets and liabilities) includes making significant estimates, specifically determining the appropriate valuation methodology and making certain estimates of the future earnings potential of the subsidiary businesses, appropriate discount rate and earnings multiple to be applied, marketability and other industry and company specific risk factors.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We follow the five step model instituted by IFRS 15 to recognize revenue. This includes making certain judgements when determining the appropriate accounting treatment of key customer contract. In particular, judgement is required to determine the performance obligations in a contract (if promised goods and services are distinct or not) and timing of revenue recognition (on delivery or over a period of time).</w:t>
      </w:r>
    </w:p>
    <w:p>
      <w:pPr>
        <w:spacing w:after="0" w:line="16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For overtime recognition, we determine progress based on costs completed to total estimated contract costs. As such we need to make certain estimates of costs to be incurred for meeting our obligations under the contract. The costs are for research and development activity and the estimation uncertainty is regarding the level of activity required to meet the performance obligation and the timing in which that arises during the term of the contract.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consolidated financial statements include the financial statements of the Company and the entities it controls. Based on the applicable accounting rules, the Company controls an investee when it is exposed, or has rights, to variable returns from its involvement with the investee and has the ability to affect those returns through its power over the investee. Therefore an assessment is required to determine whether the Company has i) power over the investee; (ii) exposure, or rights, to variable returns from its involvement with the investee; and (iii) the ability to use its power over the investee to affect the amount of the investor’s returns. Judgement is required to perform such assessment and it requires that the Company consider, among others, activities that most significantly affect the returns of the investee, its voting shares, representation on the board, rights to appoint management, investee dependence on the Company and other contributing factors.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 Associates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our share of losses exceeds its net investment in an equity accounted investee,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and are more akin to debt like securities, the instrument held by PureTech is accounted for in accordance with IFRS 9.</w:t>
      </w:r>
    </w:p>
    <w:p>
      <w:pPr>
        <w:spacing w:after="0" w:line="58"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Judgement is required in order to determine whether we have significant influence over financial and operating policies of investees. This judgement includes, among others, an assessment whether we have representation on the board of directors of the investee, whether we participate in the policy making processes of the investee, whether there is any interchange of managerial personnel, whether there is any essential technical information provided to the investee and if there are any transactions between us and the investee.</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Judgment is also required to determine which instruments we hold in the investee form part of the investment in the associate,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must make certain estimates and judgments in determining income tax expense for financial statement purposes. The amount of taxes currently payable or refundable is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loss and tax credit carryforwards. Deferred tax assets and liabilities are measured using enacted tax rates in effect for the year in which those temporary differences are expected to be recovered or settled. The effect on deferred tax assets and liabilities for a change in tax rates is recognized in income in the period that includes the enactment date. Net deferred tax assets are not recorded if we do not assess their realization as probable.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apply the provisions of the authoritative guidance on accounting for uncertainty in income taxes that was issued by the IASB. Pursuant to this guidance, we may recognize the tax benefit from an uncertain tax position only if it is more likely than not that the tax position will be sustained on examination by the taxing authorities based on the technical merits of the position. The tax benefits recognized are reviewed at each reporting date and are reduced to the extent that it is no longer probable that the tax benefit will be realized.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Share-based payments includes stock options, restricted stock units (“RSUs”) as well as service, market and performance-based RSU awards in which the expense is recognized based on the grant date fair value of these awards</w:t>
      </w:r>
    </w:p>
    <w:p>
      <w:pPr>
        <w:spacing w:after="0" w:line="170"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accordance with IFRS 2, “Share-based Payments,” the fair value of the share option awards is estimated on the grant date using the Black-Scholes option-valuation model which requires the input of certain assumptions, including the expected life of the share-based award, share price volatility, dividend yield and interest rate. The expected life and volatility are based on our historical data for the purposes of the Black-Scholes option-valuation model. Expected life is based on the median expected term. Volatility is calculated by taking the weighted-average of the historical volatilities of our shares. We have not declared dividends and we do not plan to pay any dividends in the future. The risk-free interest rate for periods in the expected life of the option is based on the U.S. Treasury constant maturities in effect at the time of the grant.</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recognize the estimated fair value of service, market and performance-based awards as share-based compensation expense over the vesting period based upon its determination of whether it is probable that the performance targets will be achieved. We assess the probability of achieving the performance targets at each reporting period. Cumulative adjustments, if any, are recorded to reflect subsequent changes in the estimated outcome of performance-related conditions.</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fair value of the performance-based awards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For information on recent accounting pronouncements, see our consolidated financial statements and the related notes found elsewhere in this registration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Prior to the U.S. listing to which this registration statement relates, we have been a public company on the London Stock Exchang, or LSE, with limited requirements to implement and test internal controls under a UK framework. As such, we have not been subject to the internal control over financial reporting requirements of the Sarbanes-Oxley Act of 2002, or the Sarbanes-Oxley Act, and the standards of the PCAOB and our independent registered public accounting firm has not conducted an audit of our internal control over financial reporting in accordance with such rules. As a U.S. public company, Section 404 of the Sarbanes-Oxley will require that our management assess our internal control over financial reporting and include a report of management on our internal control over financial reporting in our annual report on Form 20-F beginning with our second annual report. Although we have adhered to and will continue to adhere to all internal control requirements made relevant by the governance of the LSE, the requirements pertaining to the design and implementation of internal controls over financial reporting as contemplated under the Sarbanes-Oxley Act had not been considered in the production of financial statements for the years ended December 31, 2019, 2018 and 2017 for our annual report issued in the United Kingdom.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color w:val="auto"/>
        </w:rPr>
        <w:t>In connection with the audits of our consolidated financial statements as of and for each of the years ended December 31, 2019, 2018 and 2017 we and our independent registered public accounting firm identified a material weakness in our internal controls over financial reporting. SEC guidance defines a material weakness as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material weakness relates to several significant deficiencies that were identified which, in aggregate, rise to the level of a material weakness. These significant deficiencies relate to our process around accounting for costs attributed to individual projects, contract and consolidated review, segregation of duties, expense identification, allocation of employee stock compensation expense, and tax provision relating to underlying investments and related party identification. We have taken steps to remediate the material weakness, including increasing the depth and experience within our accounting and finance organization, designing and implementing improved processes and internal controls based on the COSO framework, and internally testing the effectiveness of our internal controls. As with any internal control framework, we cannot be certain that these efforts will be sufficient to remediate our material weaknesses, prevent future material weaknesses or significant deficiencies from occurring.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Our Wholly Owned Programs and most of the product candidates in our Founded Entities are at various phases of preclinical and clinical development. We do not expect to generate significant revenue from sales of product candidates in our Wholly Owned Pipeline for several years, if at all. To date, PureTech Health plc and its predecessor entity has raised a total of $439.3 million from external funding sources such as major investment funds and other leading investors. We raised $196.0 million when we completed our IPO on the London Stock Exchange in June 2015, plus an additional $101.2 million as a follow-on offering that we completed in April 2018. Prior to our IPO, we raised a total of $142.1 million in consecutive private financing rounds. In the period from January 2017 through June 2020, our Founded Entities strengthened their collective balance sheets by attracting $1,084.2 million in equity investments and non-dilutive funding, including $997.6 million from third parties. The balance of the funding is between PureTech Health plc and its Founded Entities. For a description of our structure and relationships with our Founded Entities, see “Business Overview” included elsewhere in this registration statement on Form 20-F.</w:t>
      </w:r>
    </w:p>
    <w:p>
      <w:pPr>
        <w:spacing w:after="0" w:line="185"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Our cash flows may fluctuate and are difficult to forecast and will depend on many factors. As of June 30, 2020, we had cash, cash equivalents and short-term investments of $340.1 million, which included aggregate proceeds of $12.3 million and $245.9 million from our sales of resTORbio and Karuna shares,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74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$(98,156)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(72,796)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(88,685)</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(56,098)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$(55,326)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2820" w:type="dxa"/>
            <w:vAlign w:val="bottom"/>
            <w:gridSpan w:val="3"/>
          </w:tcPr>
          <w:p>
            <w:pPr>
              <w:jc w:val="right"/>
              <w:ind w:right="100"/>
              <w:spacing w:after="0"/>
              <w:rPr>
                <w:sz w:val="20"/>
                <w:szCs w:val="20"/>
                <w:color w:val="auto"/>
              </w:rPr>
            </w:pPr>
            <w:r>
              <w:rPr>
                <w:rFonts w:ascii="Arial" w:cs="Arial" w:eastAsia="Arial" w:hAnsi="Arial"/>
                <w:sz w:val="18"/>
                <w:szCs w:val="18"/>
                <w:color w:val="auto"/>
              </w:rPr>
              <w:t>63,659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(39,645)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83,682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266,052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156,887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14,696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33,405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207,760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$ 14,997</w:t>
            </w: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tcPr>
          <w:p>
            <w:pPr>
              <w:jc w:val="right"/>
              <w:ind w:right="950"/>
              <w:spacing w:after="0"/>
              <w:rPr>
                <w:sz w:val="20"/>
                <w:szCs w:val="20"/>
                <w:color w:val="auto"/>
              </w:rPr>
            </w:pPr>
            <w:r>
              <w:rPr>
                <w:rFonts w:ascii="Arial" w:cs="Arial" w:eastAsia="Arial" w:hAnsi="Arial"/>
                <w:sz w:val="18"/>
                <w:szCs w:val="18"/>
                <w:color w:val="auto"/>
              </w:rPr>
              <w:t>216</w:t>
            </w: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Net cash used in operating activities was $72.8 million for the year ended December 31, 2018, as compared to $88.7 million for the year ended December 31, 2017. The decline in outflows was primarily due to the $4.4 million decrease in our operating loss and a decline of $4.5 million in non-cash items, which had no impact on the cash used in operating activities, as well as increases of $5.6 million in deferred revenues and $1.3 million in other financial assets for the year ended December 31, 2018.</w:t>
      </w:r>
    </w:p>
    <w:p>
      <w:pPr>
        <w:spacing w:after="0" w:line="18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Net cash used in operating activities was $98.2 million for the year ended December 31, 2019, as compared to $72.8 million for the year ended December 31, 2018. The increase in outflows was primarily due to our increased operating loss that resulted from increased research and development activities. In 2019, our income resulted from increased non-cash gains, that had no impact on the cash used in operating activities.</w:t>
      </w:r>
    </w:p>
    <w:p>
      <w:pPr>
        <w:spacing w:after="0" w:line="16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Net cash used in operating activities was $56.1 million for the six months ended June 30, 2020, as compared to $55.3 million for the six months ended June 30, 2019. Decreased outflows due to our lower operating loss were offset by the decline in deferred revenues of $8.5 million and increased outflows resulting from the decline in accounts payable and accrued expenses of $8.8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Net cash used in investing activities was $39.6 million for the year ended December 31, 2018, as compared to net cash provided by investing activities of $83.7 million for the year ended December 31, 2017. The increase in outflows was due to the purchase of short-term investments of $166.5 million, the derecognition of $13.4 million in cash held at Akili which was deconsolidated during the year ended December 31, 2018, the purchase of property and equipment of $4.4 million, the purchase of shares in resTORbio totaling $3.5 million, which was offset by the maturity of short-term investments of $148.1 million</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Net cash provided by investing activities was $63.7 million for the year ended December 31, 2019, as compared to outflows of $39.6 million for the year ended December 31, 2018. Cash provided by the maturity of short-term investments of $174.0 million was offset by the purchase of short-term investments of $69.5 million as well as the purchase of fixed assets totaling $12.1 million and the purchase of intangible assets totaling $0.4 million. The inflow was further offset by our investment in Gelesis convertible promissory notes totaling $6.5 million and Gelesis Series 3 Growth preferred shares and Karuna Series B preferred shares totaling $15.2 million. The inflow was further offset by the derecognition of cash totaling $16.0 million held by Vor, Karuna and Gelesis upon deconsolidation.</w:t>
      </w:r>
    </w:p>
    <w:p>
      <w:pPr>
        <w:spacing w:after="0" w:line="192" w:lineRule="exact"/>
        <w:rPr>
          <w:sz w:val="20"/>
          <w:szCs w:val="20"/>
          <w:color w:val="auto"/>
        </w:rPr>
      </w:pPr>
    </w:p>
    <w:p>
      <w:pPr>
        <w:ind w:left="120" w:right="220"/>
        <w:spacing w:after="0" w:line="287" w:lineRule="auto"/>
        <w:rPr>
          <w:sz w:val="20"/>
          <w:szCs w:val="20"/>
          <w:color w:val="auto"/>
        </w:rPr>
      </w:pPr>
      <w:r>
        <w:rPr>
          <w:rFonts w:ascii="Arial" w:cs="Arial" w:eastAsia="Arial" w:hAnsi="Arial"/>
          <w:sz w:val="16"/>
          <w:szCs w:val="16"/>
          <w:color w:val="auto"/>
        </w:rPr>
        <w:t>Net cash provided by investing activities was $266.1 million for the six months ended June 30, 2020, as compared to $37.0 million for the six months ended June 30, 2019. Increased inflows were largely attributable to proceeds attained from the sale of investments held at fair value, Karuna and resTORbio, totaling $249.0 million and to the maturity of investments in U.S. Treasuries with durations of less than two years which totaled</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$30.1 million. The cash inflows were partially offset by the purchase of fixed assets totaling $2.1 million and the investment in Gelesis Series 3 Growth and Vor Series B preferred share financings totaling $10.6 million and $0.5 million,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Net cash provided by financing activities was $156.9 million for the year ended December 31, 2018, as compared to net inflows of $14.7 million for the year ended December 31, 2017. The net inflow was primarily attributable to aggregate proceeds of the issuance of $139.6 million received from the Vedanta Series C, Gelesis Series 2 Growth, Akili Series C and Karuna Series A preferred share financings.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cash provided by financing activities was $49.9 million for the year ended December 31, 2019, as compared to $156.9 million for the year ended December 31, 2018. The net inflow was primarily attributable to aggregate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proceeds of the issuance of $51.0 million received from the Vedanta Series C and C-2, Gelesis Series 2 Growth and Sonde Series A-2 preferred share financings. Further inflows of $1.6 million were attributable to the proceeds from the issuance of convertible notes by Karuna. The inflows were partially offset by payment of our lease liability totaling $1.7 million and $1.3 million in tax payments related to the settlement of 2016 RSU awards granted to certain executives.</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Net cash used in financing activities was $2.2 million for the six months ended June 30, 2020, as compared to net inflows of $33.4 million for the six months ended June 30, 2019. The decline was primarily attributable to the $12.5 million cash settlement of 2017 RSU awards granted to certain executives and the payment of our lease liability totaling $1.3 million . The outflows were partially offset by aggregate proceeds of $11.2 million received from the Vedanta Series C-2 and Sonde Series A-2 preferred share financings.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have incurred operating losses since inception, and we have retained earnings of $378.4 million at June 30, 2020. Based on our current plans, we believe our existing cash and cash equivalents and short-term investments will be sufficient to fund our operations and capital expenditure requirements into at least 2024. We expect to incur substantial additional expenditures in the near term to support our ongoing activities. Additionally, we expect to incur additional costs as a result of operating as a U.S. public company. We expect to continue to incur net losses for the foreseeable future. Our ability to fund our product development and clinical operations as well as commercialization of our Wholly Owned product candidates, will depend on the amount and timing of cash received from planned financings. Our future capital requirements will depend on many factors, including:</w:t>
      </w:r>
    </w:p>
    <w:p>
      <w:pPr>
        <w:spacing w:after="0" w:line="70"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costs, timing and outcomes of clinical trials and regulatory reviews associated with our Wholly Owned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enforcing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marketing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effect on our product development activities of actions taken by the FDA, EMA or other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degree of success in commercializing our Wholly Owned product candidates, if and when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number and types of future products we develop and commercialize.</w:t>
      </w:r>
    </w:p>
    <w:p>
      <w:pPr>
        <w:spacing w:after="0" w:line="225"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Wholly Owned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financings, debt financings, collaborations with other companies or other strategic transactions.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5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Wholly Owned product candidates, we are unable to estimate the amounts of increased capital outlays and operating expenditures associated with our current and anticipated product development programs.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Financial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June 30, 2020, we had cash, cash equivalents and short-term investments of $340.1 million.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U.S. debt obligations and related money market accounts we do not believe change in interest rates would have a material effect on the fair market value of our portfolio, and therefore we do not expect our operating results or cash flows to be significantly affected by changes in market interest rates.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w:t>
      </w:r>
    </w:p>
    <w:p>
      <w:pPr>
        <w:ind w:left="120" w:right="100"/>
        <w:spacing w:after="0" w:line="252" w:lineRule="auto"/>
        <w:rPr>
          <w:sz w:val="20"/>
          <w:szCs w:val="20"/>
          <w:color w:val="auto"/>
        </w:rPr>
      </w:pPr>
      <w:r>
        <w:rPr>
          <w:rFonts w:ascii="Arial" w:cs="Arial" w:eastAsia="Arial" w:hAnsi="Arial"/>
          <w:sz w:val="18"/>
          <w:szCs w:val="18"/>
          <w:color w:val="auto"/>
        </w:rPr>
        <w:t>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We recorded foreign currency losses of zero and $0.1 million for the periods ended June 30, 2020 and 2019, respectively, which are included in other expense in our Unaudited Condensed Consolidated Statements of Comprehensive Income/(Loss). Translation adjustments are not included in determining net income (loss) but are included in our foreign exchange adjustment to other comprehensive loss, a component of shareholders’ equity.</w:t>
      </w:r>
    </w:p>
    <w:p>
      <w:pPr>
        <w:spacing w:after="0" w:line="19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do not currently engage in currency hedging activities in order to reduce our currency exposure, but we may begin to do so in the future. Instruments that may be used to hedge future risks include foreign currency forward and swap contracts. These instruments may be used to selectively manage risks, but there can be no assurance that we will be fully protected against material foreign currency fluctuations.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Founded Entity Investments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maintain investments in certain Controlled Founded Entities. Our investments in Controlled Founded Entities are eliminated as intercompany transactions upon financial consolidation. We are however exposed to a preferred share liability owing to the terms of existing preferred shares and the ownership of Controlled Founded Entities preferred shares by third parties. The liability of preferred shares is maintained at fair value through the profit and loss. Our strong cash position, budgeting and forecasting processes, as well as decision making and risk mitigation framework enable us to robustly monitor and support the business activities of the Controlled Founded Entities to ensure no exposure to credit losses and ultimately dissolution or liquidation. Accordingly, we view exposure to third party preferred share liability as low.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Non-Controlled Founded Entity Investments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maintain certain investments in Non-Controlled Founded Entities which are deemed associates and accounted for under the equity method. Our exposure to investments in associates in limited to the initial carrying amount upon recognition as an associate. We are not exposed to further contractual obligations or contingent liabilities beyond the value of initial investment. As of June 30, 2020, Gelesis was the only associate. The initial carrying amount of the investment in Gelesis as an associate was $16.4 million. Accordingly, we view the risk as high.</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2020, we held 4,739,897 common shares of Karuna. The fair value of our investment in the common stock of Karuna was $528.3 million.</w:t>
      </w:r>
    </w:p>
    <w:p>
      <w:pPr>
        <w:spacing w:after="0" w:line="24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investment in Karuna is exposed to fluctuations in the market price of these common shares. The effect of a 10.0 percent adverse change in the market price of Karuna common shares as of June 30, 2020 would have been a loss of approximately $52.8 million recognized as a component of Other income (expense) in our Consolidated Statements of Comprehensive Income/(Loss).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We do not believe we will encounter difficulty in meeting the obligations associated with our financial liabilities that are settled by delivering cash or another financial asset. While we believe our cash, cash equivalents and short-term investments do not contain excessive risk, we cannot provide absolute assurance that in the future our investments will not be subject to adverse changes or decline in value based on market conditions.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76"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Credit risk is also the risk of financial loss if a customer or counterparty to a financial instrument fails to meet its contractual obligations. We assess the credit quality of customers on an ongoing basis, taking into account its financial position, past experience and other factors. The credit quality of financial assets that are neither past due nor impaired can be assessed by reference to credit ratings (if available) or to historical information about counterparty default rates. We are also potentially subject to concentrations of credit risk in its accounts receivable. Concentrations of credit risk with respect to receivables is owed to the limited number of companies comprising our customer base. Our exposure to credit losses is low, however, due to the credit quality of its larger collaborative partners such as Boehringer Ingelheim and Eli Lilly.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An emerging growth company may take advantage of specified reduced reporting and other requirements that are otherwise applicable generally to public companies. This includes an exemption from the auditor attestation requirement in the assessment of our internal control over financial reporting pursuant to the Sarbanes-Oxley Act of 2002. We may take advantage of this exemption for up to five years or such earlier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that we are no longer an emerging growth company. We will cease to be an emerging growth company if we have more than $1.07 billion in total annual gross revenue, have more than $700.0 million in market value of our ordinary shares held by non-affiliates or issue more than $1.0 billion of non-convertible debt over a three-year period. We may choose to take advantage of some but not all of these provisions that allow for reduced reporting and other requirements.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considering whether we will take advantage of the extended transition period provided under Section 7(a)(2)(B) of the Securities Act of 1933, as amended,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Upon completion of the U.S. listing to which this registration statement relates,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80" w:right="160" w:hanging="424"/>
        <w:spacing w:after="0" w:line="277" w:lineRule="auto"/>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369" w:lineRule="exact"/>
        <w:rPr>
          <w:rFonts w:ascii="Arial" w:cs="Arial" w:eastAsia="Arial" w:hAnsi="Arial"/>
          <w:sz w:val="18"/>
          <w:szCs w:val="18"/>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For a discussion of our research and development activities, see the sections of this registration statement titled “Item 4.B.—Business Overview”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“Item 5.A.—Operating Results.”</w:t>
      </w:r>
    </w:p>
    <w:p>
      <w:pPr>
        <w:spacing w:after="0" w:line="355"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For a discussion of trends and uncertainties relating to our business, see the sections of this registration statement titled “Item 5A.—Operating Results.”</w:t>
      </w:r>
    </w:p>
    <w:p>
      <w:pPr>
        <w:spacing w:after="0" w:line="315"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As of June 30, 2020, our off-balance sheet arrangements consist of outstanding standby letters of credit. We have no other off-balance sheet arrangements that have had, or are reasonably likely to have, a material current or future effect on our consolidated financial statements or changes in financial condition, revenues or expenses, results of operations, liquidity, capital expenditures or capital resources.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440" w:hanging="4"/>
        <w:spacing w:after="0" w:line="377" w:lineRule="auto"/>
        <w:tabs>
          <w:tab w:leader="none" w:pos="5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 Contractual Obligations and Commitments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commitments and obligations as of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2"/>
              </w:rPr>
              <w:t>Less Than</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2,929</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$ 6,964</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$ 9,305</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$18,645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Subsidiary notes payable</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7,997</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Subsidiary preferred shares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100,989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100,989</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148,284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113,370</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$ 6,964</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$ 9,305</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18,645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40" w:hanging="424"/>
        <w:spacing w:after="0" w:line="254" w:lineRule="auto"/>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the minimum lease payments due under our operating leases for office and/or laboratory space. For a more detailed description of our operating leases, see Note 21 to our consolidated financial statements found elsewhere in this document. We are subject to new lease accounting guidance as of January 1, 2019. We recognized an asset and a corresponding lease liability for an amount that is less than ten percent of our total consolidated assets.</w:t>
      </w:r>
    </w:p>
    <w:p>
      <w:pPr>
        <w:spacing w:after="0" w:line="2" w:lineRule="exact"/>
        <w:rPr>
          <w:rFonts w:ascii="Arial" w:cs="Arial" w:eastAsia="Arial" w:hAnsi="Arial"/>
          <w:sz w:val="15"/>
          <w:szCs w:val="15"/>
          <w:color w:val="auto"/>
        </w:rPr>
      </w:pPr>
    </w:p>
    <w:p>
      <w:pPr>
        <w:ind w:left="540" w:hanging="424"/>
        <w:spacing w:after="0"/>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Amounts include lease commitments of Vedanta.</w:t>
      </w:r>
    </w:p>
    <w:p>
      <w:pPr>
        <w:spacing w:after="0" w:line="211"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We have certain payment obligations under various license and collaboration agreements. Under these agreements we are required to make milestone payments upon successful completion and achievement of certain intellectual property, clinical, regulatory and sales milestones. The payment obligations under the license and collaboration agreements are contingent upon future events such as our achievement of specified development, clinical, regulatory and commercial milestones, and we will be required to make development milestone payments and royalty payments in connection with the sale of products developed under these agreements. As the achievement and timing of these future milestone payments are not probable or estimable, such amounts have not been included in our unaudited condensed consolidated financial statements as of and for the six months ended June 30, 2020 and June 30, 2019 and consolidated financial statements as of and for the years ended December 31, 2019, 2018 and 2017, or in the contractual obligations table above. For additional information regarding certain of our license and collaboration agreements, see “—License and Collaboration Agreements” above.</w:t>
      </w:r>
    </w:p>
    <w:p>
      <w:pPr>
        <w:spacing w:after="0" w:line="18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also enter into contracts in the normal course of business with CROs, contract manufacturing organizations and other third parties for clinical trials, preclinical research studies and testing and manufacturing services. These contracts are cancellable by us upon prior written notice. Payments due upon cancellation consist only of payments for services provided or expenses incurred, including noncancellable obligations of our service providers, up to the date of cancellation. These payments are not included in the preceding table as the amount and timing of such payments are not known.</w:t>
      </w:r>
    </w:p>
    <w:p>
      <w:pPr>
        <w:spacing w:after="0" w:line="302"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registration statement contains forward-looking statements within the meaning of Section 27A of the Securities Act and Section 21E of the Exchange Act and as defined in the Private Securities Litigation Reform Act of 1995. See “Special Note with Respect to Forward Looking Statements” included elsewhere in this registration statement.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For information about our directors and senior management, see “Item 1A. Identity of Directors, Senior Management and Advisers – Directors and Senior Management.”</w:t>
      </w:r>
    </w:p>
    <w:p>
      <w:pPr>
        <w:spacing w:after="0" w:line="315" w:lineRule="exact"/>
        <w:rPr>
          <w:sz w:val="20"/>
          <w:szCs w:val="20"/>
          <w:color w:val="auto"/>
        </w:rPr>
      </w:pPr>
    </w:p>
    <w:p>
      <w:pPr>
        <w:jc w:val="both"/>
        <w:ind w:left="120" w:right="9120" w:hanging="4"/>
        <w:spacing w:after="0" w:line="453" w:lineRule="auto"/>
        <w:tabs>
          <w:tab w:leader="none" w:pos="552"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Executive Compensation</w:t>
      </w:r>
    </w:p>
    <w:p>
      <w:pPr>
        <w:spacing w:after="0" w:line="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For the year ended December 31, 2019, we paid an aggregate of $4.94 million in cash compensation and benefits to our executive officers, including those who serve as directors. For the year ended December 31, 2019, we paid an aggregate of $0.2 million for pension, retirement and similar benefits for our executive officers.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Chief Executive Officer and Chief Operating Officer during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8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AWARDS</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COMPENSATION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22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260" w:type="dxa"/>
            <w:vAlign w:val="bottom"/>
          </w:tcPr>
          <w:p>
            <w:pPr>
              <w:spacing w:after="0"/>
              <w:rPr>
                <w:sz w:val="15"/>
                <w:szCs w:val="15"/>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Daphne Zohar</w:t>
            </w:r>
          </w:p>
        </w:tc>
        <w:tc>
          <w:tcPr>
            <w:tcW w:w="2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2019</w:t>
            </w: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601,960</w:t>
            </w: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86"/>
              </w:rPr>
              <w:t>601,960</w:t>
            </w: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2,101,401</w:t>
            </w:r>
          </w:p>
        </w:tc>
        <w:tc>
          <w:tcPr>
            <w:tcW w:w="2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33,536</w:t>
            </w: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3,338,857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2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340" w:type="dxa"/>
            <w:vAlign w:val="bottom"/>
          </w:tcPr>
          <w:p>
            <w:pPr>
              <w:spacing w:after="0"/>
              <w:rPr>
                <w:sz w:val="20"/>
                <w:szCs w:val="20"/>
                <w:color w:val="auto"/>
              </w:rPr>
            </w:pPr>
            <w:r>
              <w:rPr>
                <w:rFonts w:ascii="Arial" w:cs="Arial" w:eastAsia="Arial" w:hAnsi="Arial"/>
                <w:sz w:val="18"/>
                <w:szCs w:val="18"/>
                <w:color w:val="auto"/>
              </w:rPr>
              <w:t>Stephen Muniz, J.D.</w:t>
            </w:r>
          </w:p>
        </w:tc>
        <w:tc>
          <w:tcPr>
            <w:tcW w:w="3000" w:type="dxa"/>
            <w:vAlign w:val="bottom"/>
            <w:gridSpan w:val="3"/>
          </w:tcPr>
          <w:p>
            <w:pPr>
              <w:jc w:val="right"/>
              <w:ind w:righ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421,057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421,057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730,148</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32,123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1,604,384</w:t>
            </w:r>
          </w:p>
        </w:tc>
        <w:tc>
          <w:tcPr>
            <w:tcW w:w="0" w:type="dxa"/>
            <w:vAlign w:val="bottom"/>
          </w:tcPr>
          <w:p>
            <w:pPr>
              <w:spacing w:after="0"/>
              <w:rPr>
                <w:sz w:val="1"/>
                <w:szCs w:val="1"/>
                <w:color w:val="auto"/>
              </w:rPr>
            </w:pPr>
          </w:p>
        </w:tc>
      </w:tr>
      <w:tr>
        <w:trPr>
          <w:trHeight w:val="230"/>
        </w:trPr>
        <w:tc>
          <w:tcPr>
            <w:tcW w:w="2340" w:type="dxa"/>
            <w:vAlign w:val="bottom"/>
          </w:tcPr>
          <w:p>
            <w:pPr>
              <w:ind w:left="360"/>
              <w:spacing w:after="0"/>
              <w:rPr>
                <w:sz w:val="20"/>
                <w:szCs w:val="20"/>
                <w:color w:val="auto"/>
              </w:rPr>
            </w:pPr>
            <w:r>
              <w:rPr>
                <w:rFonts w:ascii="Arial" w:cs="Arial" w:eastAsia="Arial" w:hAnsi="Arial"/>
                <w:sz w:val="18"/>
                <w:szCs w:val="18"/>
                <w:i w:val="1"/>
                <w:iCs w:val="1"/>
                <w:color w:val="auto"/>
              </w:rPr>
              <w:t>Chief Operating Officer</w:t>
            </w: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540" w:right="80" w:hanging="424"/>
        <w:spacing w:after="0" w:line="254" w:lineRule="auto"/>
        <w:tabs>
          <w:tab w:leader="none" w:pos="540" w:val="left"/>
        </w:tabs>
        <w:numPr>
          <w:ilvl w:val="0"/>
          <w:numId w:val="124"/>
        </w:numPr>
        <w:rPr>
          <w:rFonts w:ascii="Arial" w:cs="Arial" w:eastAsia="Arial" w:hAnsi="Arial"/>
          <w:sz w:val="15"/>
          <w:szCs w:val="15"/>
          <w:color w:val="auto"/>
        </w:rPr>
      </w:pPr>
      <w:r>
        <w:rPr>
          <w:rFonts w:ascii="Arial" w:cs="Arial" w:eastAsia="Arial" w:hAnsi="Arial"/>
          <w:sz w:val="18"/>
          <w:szCs w:val="18"/>
          <w:color w:val="auto"/>
        </w:rPr>
        <w:t>The amounts reported in the “Stock Awards” column reflects the aggregate grant date fair value of share-based compensation awarded during the year computed in accordance with the provisions of International Financial Reporting Standards (IASB), or IFRS 2, Share-Based Payment, based on maximum performance. See Notes 1 and 8 to our financial statements appearing at the end of this registration statement regarding assumptions underlying the valuation of equity awards.</w:t>
      </w:r>
    </w:p>
    <w:p>
      <w:pPr>
        <w:spacing w:after="0" w:line="2" w:lineRule="exact"/>
        <w:rPr>
          <w:rFonts w:ascii="Arial" w:cs="Arial" w:eastAsia="Arial" w:hAnsi="Arial"/>
          <w:sz w:val="15"/>
          <w:szCs w:val="15"/>
          <w:color w:val="auto"/>
        </w:rPr>
      </w:pPr>
    </w:p>
    <w:p>
      <w:pPr>
        <w:ind w:left="540" w:hanging="424"/>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7"/>
          <w:szCs w:val="17"/>
          <w:color w:val="auto"/>
        </w:rPr>
        <w:t>Amounts reflect Company matching contributions to our 401(k) plan; medical, dental and disability insurance; and parking reimbursement.</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Year 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outstanding equity awards held by our executive officers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jc w:val="center"/>
              <w:ind w:right="524"/>
              <w:spacing w:after="0"/>
              <w:rPr>
                <w:sz w:val="20"/>
                <w:szCs w:val="20"/>
                <w:color w:val="auto"/>
              </w:rPr>
            </w:pPr>
            <w:r>
              <w:rPr>
                <w:rFonts w:ascii="Arial" w:cs="Arial" w:eastAsia="Arial" w:hAnsi="Arial"/>
                <w:sz w:val="14"/>
                <w:szCs w:val="14"/>
                <w:b w:val="1"/>
                <w:bCs w:val="1"/>
                <w:color w:val="auto"/>
              </w:rPr>
              <w:t>EQUITY</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rPr>
              <w:t>INCENTIVE</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rPr>
              <w:t>PLAN</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PLAN AWARDS: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7"/>
              </w:rPr>
              <w:t>AWARDS:</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SECURITIES</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rPr>
              <w:t>UNEARNED</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9"/>
              </w:rPr>
              <w:t>SHARES, UNITS</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SHARES, UNITS</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UNEXERCISED</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UNEXERCISED</w:t>
            </w:r>
          </w:p>
        </w:tc>
        <w:tc>
          <w:tcPr>
            <w:tcW w:w="116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OPTION</w:t>
            </w:r>
          </w:p>
        </w:tc>
        <w:tc>
          <w:tcPr>
            <w:tcW w:w="172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rPr>
              <w:t>OR OTHER</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EXERCISE</w:t>
            </w:r>
          </w:p>
        </w:tc>
        <w:tc>
          <w:tcPr>
            <w:tcW w:w="1360" w:type="dxa"/>
            <w:vAlign w:val="bottom"/>
            <w:gridSpan w:val="2"/>
            <w:vMerge w:val="continue"/>
          </w:tcPr>
          <w:p>
            <w:pPr>
              <w:spacing w:after="0"/>
              <w:rPr>
                <w:sz w:val="12"/>
                <w:szCs w:val="12"/>
                <w:color w:val="auto"/>
              </w:rPr>
            </w:pPr>
          </w:p>
        </w:tc>
        <w:tc>
          <w:tcPr>
            <w:tcW w:w="172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rPr>
              <w:t>RIGHTS THAT</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EXERCISABLE</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UNEXERCISABLE</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PRICE</w:t>
            </w: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EXPIRATION</w:t>
            </w:r>
          </w:p>
        </w:tc>
        <w:tc>
          <w:tcPr>
            <w:tcW w:w="172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rPr>
              <w:t>HAVE NOT</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20" w:type="dxa"/>
            <w:vAlign w:val="bottom"/>
            <w:gridSpan w:val="2"/>
          </w:tcPr>
          <w:p>
            <w:pPr>
              <w:jc w:val="center"/>
              <w:ind w:left="308"/>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/SHARE)</w:t>
            </w:r>
          </w:p>
        </w:tc>
        <w:tc>
          <w:tcPr>
            <w:tcW w:w="13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9"/>
              </w:rPr>
              <w:t>DATE</w:t>
            </w:r>
          </w:p>
        </w:tc>
        <w:tc>
          <w:tcPr>
            <w:tcW w:w="1720" w:type="dxa"/>
            <w:vAlign w:val="bottom"/>
            <w:gridSpan w:val="2"/>
          </w:tcPr>
          <w:p>
            <w:pPr>
              <w:jc w:val="center"/>
              <w:ind w:right="544"/>
              <w:spacing w:after="0" w:line="158" w:lineRule="exact"/>
              <w:rPr>
                <w:sz w:val="20"/>
                <w:szCs w:val="20"/>
                <w:color w:val="auto"/>
              </w:rPr>
            </w:pPr>
            <w:r>
              <w:rPr>
                <w:rFonts w:ascii="Arial" w:cs="Arial" w:eastAsia="Arial" w:hAnsi="Arial"/>
                <w:sz w:val="14"/>
                <w:szCs w:val="14"/>
                <w:b w:val="1"/>
                <w:bCs w:val="1"/>
                <w:color w:val="auto"/>
              </w:rPr>
              <w:t>VESTED (#)</w:t>
            </w:r>
          </w:p>
        </w:tc>
        <w:tc>
          <w:tcPr>
            <w:tcW w:w="11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 xml:space="preserve">VESTED ($)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89"/>
        </w:trPr>
        <w:tc>
          <w:tcPr>
            <w:tcW w:w="2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Daphne Zohar</w:t>
            </w:r>
          </w:p>
        </w:tc>
        <w:tc>
          <w:tcPr>
            <w:tcW w:w="3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980"/>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60"/>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1,362,393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(2)</w:t>
            </w: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5,726,710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1,035,628</w:t>
            </w:r>
            <w:r>
              <w:rPr>
                <w:rFonts w:ascii="Arial" w:cs="Arial" w:eastAsia="Arial" w:hAnsi="Arial"/>
                <w:sz w:val="15"/>
                <w:szCs w:val="15"/>
                <w:color w:val="auto"/>
              </w:rPr>
              <w:t>(3)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4,353,179</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644,668</w:t>
            </w:r>
            <w:r>
              <w:rPr>
                <w:rFonts w:ascii="Arial" w:cs="Arial" w:eastAsia="Arial" w:hAnsi="Arial"/>
                <w:sz w:val="15"/>
                <w:szCs w:val="15"/>
                <w:color w:val="auto"/>
              </w:rPr>
              <w:t>(4)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2,709,810</w:t>
            </w:r>
          </w:p>
        </w:tc>
        <w:tc>
          <w:tcPr>
            <w:tcW w:w="0" w:type="dxa"/>
            <w:vAlign w:val="bottom"/>
          </w:tcPr>
          <w:p>
            <w:pPr>
              <w:spacing w:after="0"/>
              <w:rPr>
                <w:sz w:val="1"/>
                <w:szCs w:val="1"/>
                <w:color w:val="auto"/>
              </w:rPr>
            </w:pPr>
          </w:p>
        </w:tc>
      </w:tr>
      <w:tr>
        <w:trPr>
          <w:trHeight w:val="202"/>
        </w:trPr>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Stephen Muniz, J.D.</w:t>
            </w:r>
          </w:p>
        </w:tc>
        <w:tc>
          <w:tcPr>
            <w:tcW w:w="38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680" w:type="dxa"/>
            <w:vAlign w:val="bottom"/>
            <w:gridSpan w:val="2"/>
          </w:tcPr>
          <w:p>
            <w:pPr>
              <w:ind w:left="98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4"/>
              <w:spacing w:after="0" w:line="201" w:lineRule="exact"/>
              <w:rPr>
                <w:sz w:val="20"/>
                <w:szCs w:val="20"/>
                <w:color w:val="auto"/>
              </w:rPr>
            </w:pPr>
            <w:r>
              <w:rPr>
                <w:rFonts w:ascii="Arial" w:cs="Arial" w:eastAsia="Arial" w:hAnsi="Arial"/>
                <w:sz w:val="18"/>
                <w:szCs w:val="18"/>
                <w:color w:val="auto"/>
              </w:rPr>
              <w:t>455,039</w:t>
            </w:r>
            <w:r>
              <w:rPr>
                <w:rFonts w:ascii="Arial" w:cs="Arial" w:eastAsia="Arial" w:hAnsi="Arial"/>
                <w:sz w:val="15"/>
                <w:szCs w:val="15"/>
                <w:color w:val="auto"/>
              </w:rPr>
              <w:t>(2)</w:t>
            </w:r>
          </w:p>
        </w:tc>
        <w:tc>
          <w:tcPr>
            <w:tcW w:w="11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1,912,720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4"/>
              <w:spacing w:after="0"/>
              <w:rPr>
                <w:sz w:val="20"/>
                <w:szCs w:val="20"/>
                <w:color w:val="auto"/>
              </w:rPr>
            </w:pPr>
            <w:r>
              <w:rPr>
                <w:rFonts w:ascii="Arial" w:cs="Arial" w:eastAsia="Arial" w:hAnsi="Arial"/>
                <w:sz w:val="18"/>
                <w:szCs w:val="18"/>
                <w:color w:val="auto"/>
              </w:rPr>
              <w:t>346,644</w:t>
            </w:r>
            <w:r>
              <w:rPr>
                <w:rFonts w:ascii="Arial" w:cs="Arial" w:eastAsia="Arial" w:hAnsi="Arial"/>
                <w:sz w:val="15"/>
                <w:szCs w:val="15"/>
                <w:color w:val="auto"/>
              </w:rPr>
              <w:t>(3)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1,457,090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4"/>
              <w:spacing w:after="0"/>
              <w:rPr>
                <w:sz w:val="20"/>
                <w:szCs w:val="20"/>
                <w:color w:val="auto"/>
              </w:rPr>
            </w:pPr>
            <w:r>
              <w:rPr>
                <w:rFonts w:ascii="Arial" w:cs="Arial" w:eastAsia="Arial" w:hAnsi="Arial"/>
                <w:sz w:val="18"/>
                <w:szCs w:val="18"/>
                <w:color w:val="auto"/>
              </w:rPr>
              <w:t>223,995</w:t>
            </w:r>
            <w:r>
              <w:rPr>
                <w:rFonts w:ascii="Arial" w:cs="Arial" w:eastAsia="Arial" w:hAnsi="Arial"/>
                <w:sz w:val="15"/>
                <w:szCs w:val="15"/>
                <w:color w:val="auto"/>
              </w:rPr>
              <w:t>(4)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941,545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77" w:lineRule="auto"/>
        <w:tabs>
          <w:tab w:leader="none" w:pos="540" w:val="left"/>
        </w:tabs>
        <w:numPr>
          <w:ilvl w:val="0"/>
          <w:numId w:val="125"/>
        </w:numPr>
        <w:rPr>
          <w:rFonts w:ascii="Arial" w:cs="Arial" w:eastAsia="Arial" w:hAnsi="Arial"/>
          <w:sz w:val="15"/>
          <w:szCs w:val="15"/>
          <w:color w:val="auto"/>
        </w:rPr>
      </w:pPr>
      <w:r>
        <w:rPr>
          <w:rFonts w:ascii="Arial" w:cs="Arial" w:eastAsia="Arial" w:hAnsi="Arial"/>
          <w:sz w:val="18"/>
          <w:szCs w:val="18"/>
          <w:color w:val="auto"/>
        </w:rPr>
        <w:t>Market value as of December 31, 2019 is based on the closing price of our ordinary shares on December 31, 2019 of £3.17 per share, at the conversion rate on such date of 1 GBP to 1.326 USD.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86" w:lineRule="auto"/>
        <w:tabs>
          <w:tab w:leader="none" w:pos="540" w:val="left"/>
        </w:tabs>
        <w:numPr>
          <w:ilvl w:val="0"/>
          <w:numId w:val="126"/>
        </w:numPr>
        <w:rPr>
          <w:rFonts w:ascii="Arial" w:cs="Arial" w:eastAsia="Arial" w:hAnsi="Arial"/>
          <w:sz w:val="13"/>
          <w:szCs w:val="13"/>
          <w:color w:val="auto"/>
        </w:rPr>
      </w:pPr>
      <w:r>
        <w:rPr>
          <w:rFonts w:ascii="Arial" w:cs="Arial" w:eastAsia="Arial" w:hAnsi="Arial"/>
          <w:sz w:val="16"/>
          <w:szCs w:val="16"/>
          <w:color w:val="auto"/>
        </w:rPr>
        <w:t>These restricted stock unit awards were granted on May 19, 2017 and vest based on the achievement of the following performance conditions over the performance period of January 1, 2017 to December 31, 2019: 50 percent of the shares underlying the award will vest based on growth in TSR, 25 percent of the shares underlying the award will vest based on growth in NAV, and 25 percent of the shares underlying the award will vest based on the achievement of strategic objectives. These restricted stock unit awards became fully vested and were settled in cash in June 2020.</w:t>
      </w:r>
    </w:p>
    <w:p>
      <w:pPr>
        <w:spacing w:after="0" w:line="1" w:lineRule="exact"/>
        <w:rPr>
          <w:rFonts w:ascii="Arial" w:cs="Arial" w:eastAsia="Arial" w:hAnsi="Arial"/>
          <w:sz w:val="13"/>
          <w:szCs w:val="13"/>
          <w:color w:val="auto"/>
        </w:rPr>
      </w:pPr>
    </w:p>
    <w:p>
      <w:pPr>
        <w:jc w:val="both"/>
        <w:ind w:left="540" w:hanging="424"/>
        <w:spacing w:after="0" w:line="281" w:lineRule="auto"/>
        <w:tabs>
          <w:tab w:leader="none" w:pos="540" w:val="left"/>
        </w:tabs>
        <w:numPr>
          <w:ilvl w:val="0"/>
          <w:numId w:val="126"/>
        </w:numPr>
        <w:rPr>
          <w:rFonts w:ascii="Arial" w:cs="Arial" w:eastAsia="Arial" w:hAnsi="Arial"/>
          <w:sz w:val="13"/>
          <w:szCs w:val="13"/>
          <w:color w:val="auto"/>
        </w:rPr>
      </w:pPr>
      <w:r>
        <w:rPr>
          <w:rFonts w:ascii="Arial" w:cs="Arial" w:eastAsia="Arial" w:hAnsi="Arial"/>
          <w:sz w:val="16"/>
          <w:szCs w:val="16"/>
          <w:color w:val="auto"/>
        </w:rPr>
        <w:t>These restricted stock unit awards were granted on June 15, 2018 and vest based on the achievement of the following performance conditions over the performance period of January 1, 2018 to December 31, 2020: 50 percent of the shares underlying the award will vest based on growth in TSR, 12.5 percent of the shares underlying the award will vest based on relative TSR against the FTSE SmallCap Index (excluding Investment Trusts),</w:t>
      </w:r>
    </w:p>
    <w:p>
      <w:pPr>
        <w:spacing w:after="0" w:line="1" w:lineRule="exact"/>
        <w:rPr>
          <w:rFonts w:ascii="Arial" w:cs="Arial" w:eastAsia="Arial" w:hAnsi="Arial"/>
          <w:sz w:val="13"/>
          <w:szCs w:val="13"/>
          <w:color w:val="auto"/>
        </w:rPr>
      </w:pPr>
    </w:p>
    <w:p>
      <w:pPr>
        <w:ind w:left="540" w:right="40"/>
        <w:spacing w:after="0" w:line="250" w:lineRule="auto"/>
        <w:rPr>
          <w:rFonts w:ascii="Arial" w:cs="Arial" w:eastAsia="Arial" w:hAnsi="Arial"/>
          <w:sz w:val="13"/>
          <w:szCs w:val="13"/>
          <w:color w:val="auto"/>
        </w:rPr>
      </w:pPr>
      <w:r>
        <w:rPr>
          <w:rFonts w:ascii="Arial" w:cs="Arial" w:eastAsia="Arial" w:hAnsi="Arial"/>
          <w:sz w:val="18"/>
          <w:szCs w:val="18"/>
          <w:color w:val="auto"/>
        </w:rPr>
        <w:t>12.5 percent of the shares underlying the award will vest based on relative TSR against the MSCI Europe Health Care Index, and 25 percent of the shares underlying the award will vest based on the achievement of strategic objectives.</w:t>
      </w:r>
    </w:p>
    <w:p>
      <w:pPr>
        <w:ind w:left="540" w:hanging="424"/>
        <w:spacing w:after="0" w:line="253" w:lineRule="auto"/>
        <w:tabs>
          <w:tab w:leader="none" w:pos="5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These restricted stock unit awards were granted on December 20, 2019 and vest based on the achievement of the following performance conditions over the performance period of January 1, 2019 to December 31, 2021: 50 percent of the shares underlying the award will vest based on growth in TSR, 12.5 percent of the shares underlying the award will vest based on relative TSR against the FTSE 250 Index, 12.5 percent of the shares underlying the award will vest based on relative TSR against the MSCI Europe Health Care Index, and 25 percent of the shares underlying the award will vest based on the achievement of strategic objectives.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have entered into employment offer letters with each of our executive officers. Except as noted below, these employment arrangements provide for “at will”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Daphne Zohar</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We entered into an amended and restated employment offer letter with Ms. Zohar in June 2015. Such offer letter provides for an annual base salary and an annual performance bonus equal to 50 percent of her base salary at target and 100 percent of her base salary at maximum performance.</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the event Ms. Zohar’s employment is terminated by us without cause or she resigns for good reason (as each such term is defined in her employment offer letter), she shall be entitled to receive salary continuation for the 365-day period following the termination of her employment, subject to her execution of a release of claims in favor of us. Ms. Zohar must provide us with six months’ notice of any resignation of her employment without good reason, provided that we may elect to have her cease providing active services during such period and continue to pay her base salary and benefits during such period.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Zohar is also subject to a 12-month non-competition and non-solicitation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Stephen Muniz</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We entered into an amended and restated employment offer letter with Mr. Muniz in June 2015. Such offer letter provides for an annual base salary and an annual performance bonus equal to 50 percent of his base salary at target and 100 percent of his base salary at maximum performance.</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the event Mr. Muniz’s employment is terminated by us without cause or he resigns for good reason (as each such term is defined in his employment offer letter), he shall be entitled to receive salary continuation for the 365-day period following the termination of his employment, subject to his execution of a release of claims in favor of us (provided that the Remuneration Committee may elect to reduce such severance period to a period of not less than 60 days if the period applicable to Mr. Muniz’s non-competition and non-solicitation restrictions are similarly reduced). In addition, Mr. Muniz must provide us with 60 days’ notice of any resignation of his employment without good reason, provided that we may elect to have Mr. Muniz cease providing active services during such period and continue to pay him his base salary and benefits during such period.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Muniz is also subject to a 12-month non-competition and non-solicitation agreement, subject to reduction as described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Option and Other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 Plan</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June 2015, we adopted the Performance Share Plan, or PSP. Participation in the PSP is open to the Executive Directors, senior managers and employees of, and other individuals providing services to, the Company and its subsidiaries. Awards may be granted in the form of share options, share appreciation rights, restricted or unrestricted share awards, restricted share units and other share-based awards.</w:t>
      </w:r>
    </w:p>
    <w:p>
      <w:pPr>
        <w:spacing w:after="0" w:line="16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Under the PSP, (i) in any ten year period, awards in respect of an aggregate of 10 percent of the company’s ordinary share capital from time to time may be subject to awards granted under the PSP (and any other share plan operated by the Company), (ii) in any ten year period, no more than 5 percent of the Company’s ordinary share capital from time to time may be granted under awards under the PSP (and any other share plan operated by the Company) to the Company’s directors, executive officers, senior managers or senior service providers and (iii) no more than 22,724,800 ordinary shares may be issued pursuant to incentive stock options. Shares which are subject to awards which lapse or are released, cancelled or surrendered, or which were granted pursuant to other share plans operated by the Company prior to its original initial public offering on the London Stock Exchange are not counted for purposes of these limits.</w:t>
      </w:r>
    </w:p>
    <w:p>
      <w:pPr>
        <w:spacing w:after="0" w:line="1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maximum total market value of shares in which an award may be granted to any grantee in any fiscal year may not exceed 400 percent of his or her annual base salary for such year (or for the preceding year, if higher).</w:t>
      </w:r>
    </w:p>
    <w:p>
      <w:pPr>
        <w:spacing w:after="0" w:line="170"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Our remuneration committee has acted as administrator of the PSP. The administrator has full power to select, from among the individuals eligible for awards, the individuals to whom awards will be granted, and to determine the specific terms and conditions of each award, subject to the provisions of our PSP Plan. Vesting of awards may be tied to achievement of performance or other conditions.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PSP permits the granting of (1) options to purchase ordinary shares intended to qualify as incentive stock options under Section 422 of the Code and</w:t>
      </w:r>
    </w:p>
    <w:p>
      <w:pPr>
        <w:spacing w:after="0" w:line="46" w:lineRule="exact"/>
        <w:rPr>
          <w:sz w:val="20"/>
          <w:szCs w:val="20"/>
          <w:color w:val="auto"/>
        </w:rPr>
      </w:pPr>
    </w:p>
    <w:p>
      <w:pPr>
        <w:ind w:left="120" w:right="20" w:hanging="4"/>
        <w:spacing w:after="0" w:line="253" w:lineRule="auto"/>
        <w:tabs>
          <w:tab w:leader="none" w:pos="3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options that do not so qualify. The option exercise price of each option is determined by the administrator but may not be less than 100 percent of the fair market value of the ordinary shares on the date of grant in the case of incentive stock options and, in the case of nonqualified options, may be less than fair market value of the ordinary shares to the extent compliant with Section 409A of the Code. The administrator determines at what time or times each option may be exercised.</w:t>
      </w:r>
    </w:p>
    <w:p>
      <w:pPr>
        <w:spacing w:after="0" w:line="19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PSP permits the award of share appreciation rights subject to such conditions and restrictions as it may determine. Share appreciation rights entitle the recipient to ordinary shares or a cash payment equal to the value of the appreciation in our share price over the exercise price. The exercise price may not be less than 100 percent of the fair market value of our ordinary shares on the date of grant. The term of each share appreciation right will be fixed by the administrator but may not exceed ten years from the date of grant. The administrator will determine at what time or times each share appreciation right may be exercised.</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PSP permits the award of restricted ordinary shares and restricted share units to participants subject to such conditions and restrictions as it may determine. These conditions and restrictions may include the achievement of certain pre-established performance goals and/or continued employment with us through a specified period. The PSP also permits the award of other share-based awards in such amounts, on such terms and conditions, and for such consideration as the administrator shall determine.</w:t>
      </w:r>
    </w:p>
    <w:p>
      <w:pPr>
        <w:spacing w:after="0" w:line="187"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If there is a change of control of the Company (or certain other corporate events) the number of ordinary shares over which awards will vest will normally be calculated by reference to the extent to which the performance conditions applicable to those awards have been satisfied and the time elapsed to the change of control event. Our remuneration committee has discretion not to apply time pro-rating.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Where appropriate, and with the consent of the acquiring company, participants may exchange awards so as to operate over shares in the acquiring company.</w:t>
      </w:r>
    </w:p>
    <w:p>
      <w:pPr>
        <w:spacing w:after="0" w:line="17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On the occurrence of any demerger, reorganization, reconstruction or amalgamation, distribution or other transaction of the Company which in the reasonable opinion of our remuneration committee may affect the value of any award, awards may be varied so as to preserve the overall value of the award. Such alteration may include amending the performance condition and/or the terms on which an award vests, and may provide for immediate vesting on such event.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may be granted under the PSP after the date that is ten years from its approval by our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 Plan</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annual bonus program is intended to drive and reward our executive officers for meeting individual and/or corporate performance goals for a fiscal year. Annual bonuses will be payable in cash, and may range between 50 percent of base salary for the achievement of “target” goals and objectives and up to 100 percent of base salary for the achievement of “stretch” goals and objectives. For 2019, bonus targets were focused on (i) financial and strategic goals designed to incentivize the team to complete important deals, execute strategic partnerships and operate within our 2019 budget, (ii) clinical development goals designed to incentivize the team to generate valuable clinical data in support of our programs, (iii) innovation goals designed to incentivize the team to create innovative programs, obtain patent protection for our technologies, obtain publication of the technologies in top tier medical and science journals and establish state of the art laboratory and operations teams, and (iv) commercial goals designed to incentivize the team to take all steps necessary to commercially launch products. The executives’ stretch goals for 2019 involved raising capital and entering into business development transactions.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Retirement Plan</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sponsor a 401(k) retirement plan which is intended to be a tax-qualified defined contribution plan under Section 401(k) of the Internal Revenue Code. In general, all of our employees are eligible to participate, beginning two months after the commencement of their employment. The 401(k) plan includes a salary deferral arrangement pursuant to which participants may elect to reduce their current compensation by up to the statutorily prescribed limit and have the amount of the reduction contributed to the 401(k) plan. We currently contribute to each employee’s 401(k) account, in the first quarter of each year, 3 percent of his or her eligible earnings from the prior year up to the statutorily prescribed limit.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our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table sets forth information regarding compensation earned by our non-employee directors during the year ended December 31, 2019. We also reimburse non-employee members of our board of directors for reasonable travel expenses. The compensation of our Chief Executive Officer and our Chief Operating Officer are discussed above in “Compensation of Executive Officers and Directors.”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180" w:type="dxa"/>
            <w:vAlign w:val="bottom"/>
            <w:vMerge w:val="restart"/>
          </w:tcPr>
          <w:p>
            <w:pPr>
              <w:spacing w:after="0"/>
              <w:rPr>
                <w:sz w:val="14"/>
                <w:szCs w:val="14"/>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FEES EARNED OR</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204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PAID IN CASH($)</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Joichi Ito </w:t>
            </w:r>
            <w:r>
              <w:rPr>
                <w:rFonts w:ascii="Arial" w:cs="Arial" w:eastAsia="Arial" w:hAnsi="Arial"/>
                <w:sz w:val="15"/>
                <w:szCs w:val="15"/>
                <w:color w:val="auto"/>
              </w:rPr>
              <w:t>(1)</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89,285</w:t>
            </w:r>
          </w:p>
        </w:tc>
        <w:tc>
          <w:tcPr>
            <w:tcW w:w="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89,285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Raju Kucherlapati, Ph.D.</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95,000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LaMattina, M.D.</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105,000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Robert Langer, Sc.D. </w:t>
            </w:r>
            <w:r>
              <w:rPr>
                <w:rFonts w:ascii="Arial" w:cs="Arial" w:eastAsia="Arial" w:hAnsi="Arial"/>
                <w:sz w:val="15"/>
                <w:szCs w:val="15"/>
                <w:color w:val="auto"/>
              </w:rPr>
              <w:t>(2)</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245,000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245,000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Dame Marjorie Scardino</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90,000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Kiran Mazumdar-Shaw</w:t>
            </w:r>
            <w:r>
              <w:rPr>
                <w:rFonts w:ascii="Arial" w:cs="Arial" w:eastAsia="Arial" w:hAnsi="Arial"/>
                <w:sz w:val="15"/>
                <w:szCs w:val="15"/>
                <w:color w:val="auto"/>
              </w:rPr>
              <w:t>(3)</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Bennett Shapiro, M.D.</w:t>
            </w:r>
            <w:r>
              <w:rPr>
                <w:rFonts w:ascii="Arial" w:cs="Arial" w:eastAsia="Arial" w:hAnsi="Arial"/>
                <w:sz w:val="15"/>
                <w:szCs w:val="15"/>
                <w:color w:val="auto"/>
              </w:rPr>
              <w:t>(4)</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Christopher Viehbacher</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107,074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107,074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5"/>
          <w:szCs w:val="15"/>
          <w:color w:val="auto"/>
        </w:rPr>
      </w:pPr>
      <w:r>
        <w:rPr>
          <w:rFonts w:ascii="Arial" w:cs="Arial" w:eastAsia="Arial" w:hAnsi="Arial"/>
          <w:sz w:val="18"/>
          <w:szCs w:val="18"/>
          <w:color w:val="auto"/>
        </w:rPr>
        <w:t>Mr. Ito resigned from our board of directors in September 2019.</w:t>
      </w:r>
    </w:p>
    <w:p>
      <w:pPr>
        <w:spacing w:after="0" w:line="23" w:lineRule="exact"/>
        <w:rPr>
          <w:rFonts w:ascii="Arial" w:cs="Arial" w:eastAsia="Arial" w:hAnsi="Arial"/>
          <w:sz w:val="15"/>
          <w:szCs w:val="15"/>
          <w:color w:val="auto"/>
        </w:rPr>
      </w:pPr>
    </w:p>
    <w:p>
      <w:pPr>
        <w:ind w:left="540" w:right="280" w:hanging="424"/>
        <w:spacing w:after="0" w:line="265"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7"/>
          <w:szCs w:val="17"/>
          <w:color w:val="auto"/>
        </w:rPr>
        <w:t>Dr. Langer provides certain intellectual property know how and technology transfer services to Alivio and Entrega related to certain know how underlying their programs, for which he was paid an aggregate of approximately $140,000 in the year ended December 31, 2019.</w:t>
      </w:r>
    </w:p>
    <w:p>
      <w:pPr>
        <w:ind w:left="540" w:hanging="424"/>
        <w:spacing w:after="0"/>
        <w:tabs>
          <w:tab w:leader="none" w:pos="540" w:val="left"/>
        </w:tabs>
        <w:numPr>
          <w:ilvl w:val="0"/>
          <w:numId w:val="128"/>
        </w:numPr>
        <w:rPr>
          <w:rFonts w:ascii="Arial" w:cs="Arial" w:eastAsia="Arial" w:hAnsi="Arial"/>
          <w:sz w:val="15"/>
          <w:szCs w:val="15"/>
          <w:color w:val="auto"/>
        </w:rPr>
      </w:pPr>
      <w:r>
        <w:rPr>
          <w:rFonts w:ascii="Arial" w:cs="Arial" w:eastAsia="Arial" w:hAnsi="Arial"/>
          <w:sz w:val="18"/>
          <w:szCs w:val="18"/>
          <w:color w:val="auto"/>
        </w:rPr>
        <w:t>Ms. Mazumdar-Shaw joined our board of directors in September 2020.</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128"/>
        </w:numPr>
        <w:rPr>
          <w:rFonts w:ascii="Arial" w:cs="Arial" w:eastAsia="Arial" w:hAnsi="Arial"/>
          <w:sz w:val="15"/>
          <w:szCs w:val="15"/>
          <w:color w:val="auto"/>
        </w:rPr>
      </w:pPr>
      <w:r>
        <w:rPr>
          <w:rFonts w:ascii="Arial" w:cs="Arial" w:eastAsia="Arial" w:hAnsi="Arial"/>
          <w:sz w:val="18"/>
          <w:szCs w:val="18"/>
          <w:color w:val="auto"/>
        </w:rPr>
        <w:t>Dr. Shapiro retired from our board of directors in June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We currently pay directors in accordance with the following non-employee director compensation policy. Such amounts are subject to annual adjustment, as determined by the Remuneration Committee.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non-employee director is paid an annual retainer of $75,000 for their services on our board of directors, and the non-executive chair of the board of directors receives an extra $50,000 for his contributions in leading our board of directors.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Our non-employee directors also receive $5,000 annually if they serve on a committee of our board of directors, and $10,000 annually if they chair the committee. Additionally, non-employee directors may receive an additional retainer of up to $20,000 per year for service on the board of one of our Founded Entities. While these payments are initially made by us, we are reimbursed by the Founded Entity for such payments. Such cash retainers are paid quarterly, and may be pro-rated based on the number of actual days served by the director during such calendar quarter.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non-employee director may also be paid fees for advisory services provided by certain of the directors to us beyond the typical duties of a director.</w:t>
      </w:r>
    </w:p>
    <w:p>
      <w:pPr>
        <w:spacing w:after="0" w:line="393" w:lineRule="exact"/>
        <w:rPr>
          <w:sz w:val="20"/>
          <w:szCs w:val="20"/>
          <w:color w:val="auto"/>
        </w:rPr>
      </w:pPr>
    </w:p>
    <w:p>
      <w:pPr>
        <w:ind w:left="120" w:right="8840" w:hanging="4"/>
        <w:spacing w:after="0" w:line="400" w:lineRule="auto"/>
        <w:tabs>
          <w:tab w:leader="none" w:pos="552"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BOARD PRACTICES Board Composition</w:t>
      </w:r>
    </w:p>
    <w:p>
      <w:pPr>
        <w:ind w:left="120" w:right="460"/>
        <w:spacing w:after="0" w:line="277" w:lineRule="auto"/>
        <w:rPr>
          <w:sz w:val="20"/>
          <w:szCs w:val="20"/>
          <w:color w:val="auto"/>
        </w:rPr>
      </w:pPr>
      <w:r>
        <w:rPr>
          <w:rFonts w:ascii="Arial" w:cs="Arial" w:eastAsia="Arial" w:hAnsi="Arial"/>
          <w:sz w:val="18"/>
          <w:szCs w:val="18"/>
          <w:color w:val="auto"/>
        </w:rPr>
        <w:t>Our board of directors currently consists of eight members: the non-executive chairman, five additional non-executive directors and two executive directors.</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As a foreign private issuer, under the listing requirements and rules of the Nasdaq Global Market, we are not required to have independent directors on our board of directors, except that our audit committee is required to consist fully of independent directors, subject to certain phase-in schedules. However, our board of directors has determined that Christopher Viehbacher, Dame Marjorie Scardino, Raju Kucherlapati, John LaMattina, Robert Langer and Kiran Mazumdar-Shaw do not have a relationship that would interfere with the exercise of independent judgment in carrying out the responsibilities of director and that each of these directors 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“independent” as that term is defined under Nasdaq rules. There are no family relationships among any of our directors or senior management.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and Committees of the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board of directors is responsible for overall corporate governance and for supervising the general affairs and business of our company and its subsidiaries. As a company listed on the main market of the London Stock Exchange, we are subject to the continuing requirements of the Listing Rules as published by the Financial Conduct Authority in the United Kingdom from time to time. Our board of directors also adheres to the principles of the U.K. Corporate Governance Code in such respects as it considers appropriate for our size and the nature of our business.</w:t>
      </w:r>
    </w:p>
    <w:p>
      <w:pPr>
        <w:spacing w:after="0" w:line="17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Our board of directors is responsible for creating value for shareholders, providing entrepreneurial and scientific leadership, approving our strategic objectives, ensuring that the necessary financial and human resources are in place to meet strategic objectives, overseeing our system of risk management and setting the values and standards for both our business conduct and governance matters. All key operational and investment decisions are subject to board approval.</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There is a clear separation of the roles of chief executive officer and non-executive chairman. The chairman is responsible for the leadership and conduct of the board of directors and for ensuring effective communication with shareholders. The chief executive officer is responsible for leading the execution of our strategy and the executive management of the company.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All of our directors are subject to election by shareholders at the first annual general meeting after their appointment to our board of directors. Our board of directors has also adopted a policy that all directors will seek annual re-election by shareholders. The appointment of each of the executive directors and non-executive directors is therefore subject to re-election at our 2021 annual general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Corporate Governance Matters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The home country practices followed by us in lieu of Nasdaq rules are described below:</w:t>
      </w:r>
    </w:p>
    <w:p>
      <w:pPr>
        <w:spacing w:after="0" w:line="63" w:lineRule="exact"/>
        <w:rPr>
          <w:sz w:val="20"/>
          <w:szCs w:val="20"/>
          <w:color w:val="auto"/>
        </w:rPr>
      </w:pPr>
    </w:p>
    <w:p>
      <w:pPr>
        <w:ind w:left="1080" w:right="22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intend to follow Nasdaq’s quorum requirements applicable to meetings of shareholders. Such quorum requirements are not required under U.K. law. In accordance with generally accepted business practice, our articles of association provide alternative quorum requirements that are generally applicable to meetings of shareholders.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intend to follow Nasdaq’s requirements that non-management directors meet on a regular basis without management present. Our board of directors may choose to meet in executive session at their discretion.</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Nasdaq’s listing standards.</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U.S. Securities Exchange Act of 1934,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amended, or the Exchange Act. They will, however, be subject to the obligations to report changes in share ownership under Section 13 of the Exchange Act and related SEC rules.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board of directors has established an audit committee, a nomination committee and a remuneration committee. Each of these committees operates under a charter that has been approved by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members of our audit committee are Mr. Viehbacher, Dr. Kucherlapati and Dame Scardino. Mr. Viehbacher is the chair of the audit committee. Our audit committee’s responsibilities include:</w:t>
      </w:r>
    </w:p>
    <w:p>
      <w:pPr>
        <w:spacing w:after="0" w:line="76" w:lineRule="exact"/>
        <w:rPr>
          <w:sz w:val="20"/>
          <w:szCs w:val="20"/>
          <w:color w:val="auto"/>
        </w:rPr>
      </w:pPr>
    </w:p>
    <w:p>
      <w:pPr>
        <w:ind w:left="1080" w:right="6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objectivity and effectiveness of our registered public accounting firm;</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by reviewing and discussing with management and our independent registered public accounting firm our annual and quarterly financial statements and related disclosures;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reviewing and monitoring our internal control over financial reporting, disclosure controls and procedures and code of business conduct;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reviewing and monitoring the effectiveness of our internal audit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establishing policies regarding procedures for the receipt and retention of accounting related complaints and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if any, our independent registered public accounting firm and management;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has determined that Mr. Viehbacher is an “audit committee financial expert” as defined in Item 16A of Form 20-F.</w:t>
      </w:r>
    </w:p>
    <w:p>
      <w:pPr>
        <w:spacing w:after="0" w:line="22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order to satisfy the independence criteria for audit committee members set forth in Rule 10A-3 under the Exchange Act, each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We believe that the composition of our audit committee will meet the requirements for independence under current Nasdaq and SEC rules and regulations.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Remuneration Committee</w:t>
      </w:r>
    </w:p>
    <w:p>
      <w:pPr>
        <w:spacing w:after="0" w:line="11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The members of our remuneration committee are Dr. Kucherlapati, Dr. LaMattina and Ms. Mazumdar-Shaw. Dr. LaMattina is the chair of the remuneration committee. Our remuneration committee’s responsibilities include:</w:t>
      </w:r>
    </w:p>
    <w:p>
      <w:pPr>
        <w:spacing w:after="0" w:line="76" w:lineRule="exact"/>
        <w:rPr>
          <w:sz w:val="20"/>
          <w:szCs w:val="20"/>
          <w:color w:val="auto"/>
        </w:rPr>
      </w:pPr>
    </w:p>
    <w:p>
      <w:pPr>
        <w:ind w:left="1080" w:right="3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directors and executive management;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overseeing an evaluation of our executive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overseeing and administering our employee share option scheme or equity incentive plans in operation from time to time.</w:t>
      </w:r>
    </w:p>
    <w:p>
      <w:pPr>
        <w:spacing w:after="0" w:line="2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order to satisfy the independence criteria for remuneration committee members set forth in Rule 10C-1 under the Exchange Act, all factors specifically relevant to determining whether a director has a relationship to such company which is material to that director’s ability to be independent from management in connection with the duties of a remuneration committee member must be considered, including, but not limited to: (1) the source of compensation of the director, including any consulting advisory or other compensatory fee paid by such company to the director; and (2) whether the director is affiliated with the company or any of its subsidiaries or affiliates. We believe the composition of our remuneration committee will meet the requirements for independence under current Nasdaq and SEC rules and regulations.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Nomination Committee</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members of our nomination committee are Dr. Langer, Dame Scardino and Ms. Mazumdar-Shaw. Dame Scardino is the chair of the nomination committee. Our nomination committee’s responsibilities include:</w:t>
      </w:r>
    </w:p>
    <w:p>
      <w:pPr>
        <w:spacing w:after="0" w:line="76"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 of directors’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overseeing a periodic evaluation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board leadership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293"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As of June 30, 2020, we had 61 full-time PureTech employees. 60 of our employees are based in the United States and one employee is based in the Netherlands. All of our employees were engaged in administrative, management or research and development functions. These figures do not include individuals employed by our Founded Entities. One PureTech employee splits his time between PureTech and our Controlled Founded Entity Entrega. None of our employees is subject to a collective bargaining agreement or represented by a trade or labor union. We consider our relationship with our employees to be good.</w:t>
      </w:r>
    </w:p>
    <w:p>
      <w:pPr>
        <w:spacing w:after="0" w:line="332"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For information regarding the share ownership of our directors and management, see “Item 6.B.—Compensation” and “Item 7.A.—Major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131"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by:</w:t>
      </w:r>
    </w:p>
    <w:p>
      <w:pPr>
        <w:spacing w:after="0" w:line="131"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our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3 percent of our outstanding ordinary shares.</w:t>
      </w:r>
    </w:p>
    <w:p>
      <w:pPr>
        <w:spacing w:after="0" w:line="24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285,743,794 ordinary shares outstanding as of September 30, 2020.</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ordinary shares. Ordinary shares subject to options that are currently exercisable or exercisable within 60 days after September 30, 2020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ordinary shares beneficially owned by them, subject to community property laws, where applicable. Except as otherwise set forth below, the address of the beneficial owner is c/o PureTech Health, 6 Tide Street, Suite 400, Boston, Massachusetts 02210. The information in the table below is based on information known to us or ascertained by us from public filings made by the shareholders. We have also set forth below information known to us regarding any significant change in the percentage ownership of our ordinary shares by any major shareholders during the past three years. The major shareholders listed below do not have voting rights with respect to their ordinary shares that are different from the voting rights of other holders of our ordinary shares.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940" w:type="dxa"/>
            <w:vAlign w:val="bottom"/>
            <w:vMerge w:val="restart"/>
          </w:tcPr>
          <w:p>
            <w:pPr>
              <w:spacing w:after="0"/>
              <w:rPr>
                <w:sz w:val="14"/>
                <w:szCs w:val="14"/>
                <w:color w:val="auto"/>
              </w:rPr>
            </w:pPr>
          </w:p>
        </w:tc>
        <w:tc>
          <w:tcPr>
            <w:tcW w:w="2880" w:type="dxa"/>
            <w:vAlign w:val="bottom"/>
          </w:tcPr>
          <w:p>
            <w:pPr>
              <w:jc w:val="right"/>
              <w:ind w:right="433"/>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91"/>
        </w:trPr>
        <w:tc>
          <w:tcPr>
            <w:tcW w:w="2200" w:type="dxa"/>
            <w:vAlign w:val="bottom"/>
            <w:tcBorders>
              <w:bottom w:val="single" w:sz="8" w:color="auto"/>
            </w:tcBorders>
            <w:vMerge w:val="continue"/>
          </w:tcPr>
          <w:p>
            <w:pPr>
              <w:spacing w:after="0"/>
              <w:rPr>
                <w:sz w:val="16"/>
                <w:szCs w:val="16"/>
                <w:color w:val="auto"/>
              </w:rPr>
            </w:pPr>
          </w:p>
        </w:tc>
        <w:tc>
          <w:tcPr>
            <w:tcW w:w="5940" w:type="dxa"/>
            <w:vAlign w:val="bottom"/>
            <w:vMerge w:val="continue"/>
          </w:tcPr>
          <w:p>
            <w:pPr>
              <w:spacing w:after="0"/>
              <w:rPr>
                <w:sz w:val="16"/>
                <w:szCs w:val="16"/>
                <w:color w:val="auto"/>
              </w:rPr>
            </w:pPr>
          </w:p>
        </w:tc>
        <w:tc>
          <w:tcPr>
            <w:tcW w:w="2880" w:type="dxa"/>
            <w:vAlign w:val="bottom"/>
          </w:tcPr>
          <w:p>
            <w:pPr>
              <w:jc w:val="right"/>
              <w:ind w:right="513"/>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89"/>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3 Percent Stockholders</w:t>
            </w:r>
          </w:p>
        </w:tc>
        <w:tc>
          <w:tcPr>
            <w:tcW w:w="2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 xml:space="preserve">Invesco Asset Management Limited </w:t>
            </w:r>
            <w:r>
              <w:rPr>
                <w:rFonts w:ascii="Arial" w:cs="Arial" w:eastAsia="Arial" w:hAnsi="Arial"/>
                <w:sz w:val="15"/>
                <w:szCs w:val="15"/>
                <w:color w:val="auto"/>
              </w:rPr>
              <w:t>(1)</w:t>
            </w:r>
          </w:p>
        </w:tc>
        <w:tc>
          <w:tcPr>
            <w:tcW w:w="28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Baillie Gifford &amp; Co </w:t>
            </w:r>
            <w:r>
              <w:rPr>
                <w:rFonts w:ascii="Arial" w:cs="Arial" w:eastAsia="Arial" w:hAnsi="Arial"/>
                <w:sz w:val="15"/>
                <w:szCs w:val="15"/>
                <w:color w:val="auto"/>
              </w:rPr>
              <w:t>(2)</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 xml:space="preserve">Lansdowne Partners Limited </w:t>
            </w:r>
            <w:r>
              <w:rPr>
                <w:rFonts w:ascii="Arial" w:cs="Arial" w:eastAsia="Arial" w:hAnsi="Arial"/>
                <w:sz w:val="15"/>
                <w:szCs w:val="15"/>
                <w:color w:val="auto"/>
              </w:rPr>
              <w:t>(3)</w:t>
            </w:r>
          </w:p>
        </w:tc>
        <w:tc>
          <w:tcPr>
            <w:tcW w:w="2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Recordati S.p.A. </w:t>
            </w:r>
            <w:r>
              <w:rPr>
                <w:rFonts w:ascii="Arial" w:cs="Arial" w:eastAsia="Arial" w:hAnsi="Arial"/>
                <w:sz w:val="15"/>
                <w:szCs w:val="15"/>
                <w:color w:val="auto"/>
              </w:rPr>
              <w:t>(4)</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Daphne Zohar </w:t>
            </w:r>
            <w:r>
              <w:rPr>
                <w:rFonts w:ascii="Arial" w:cs="Arial" w:eastAsia="Arial" w:hAnsi="Arial"/>
                <w:sz w:val="15"/>
                <w:szCs w:val="15"/>
                <w:color w:val="auto"/>
              </w:rPr>
              <w:t>(5)</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Stephen Muniz, J.D.</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Raju Kucherlapati, Ph.D.</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John LaMattina, Ph.D.</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Langer, Sc.D.</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Kiran Mazumdar-Shaw</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Dame Marjorie Scardino</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Christopher Viehbacher</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Represents beneficial ownership of less than 1 percent of our outstanding ordinary shares.</w:t>
      </w:r>
    </w:p>
    <w:p>
      <w:pPr>
        <w:spacing w:after="0" w:line="22" w:lineRule="exact"/>
        <w:rPr>
          <w:sz w:val="20"/>
          <w:szCs w:val="20"/>
          <w:color w:val="auto"/>
        </w:rPr>
      </w:pPr>
    </w:p>
    <w:p>
      <w:pPr>
        <w:ind w:left="540" w:right="160" w:hanging="424"/>
        <w:spacing w:after="0" w:line="251" w:lineRule="auto"/>
        <w:tabs>
          <w:tab w:leader="none" w:pos="54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Consists of 83,153,792 shares beneficially held. The address for Invesco Asset Management Limited is c/o 43-45 Portman Square, London W1H GLY, United Kingdom.</w:t>
      </w:r>
    </w:p>
    <w:p>
      <w:pPr>
        <w:ind w:left="540" w:right="340" w:hanging="424"/>
        <w:spacing w:after="0" w:line="250" w:lineRule="auto"/>
        <w:tabs>
          <w:tab w:leader="none" w:pos="54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Consists of 28,573,033 shares beneficially held. The address for Baillie Gifford &amp; Co. is c/o Calton Square, 1 Greenside Row, Edinburgh EH1 3AN, United Kingdom.</w:t>
      </w:r>
    </w:p>
    <w:p>
      <w:pPr>
        <w:ind w:left="540" w:right="140" w:hanging="424"/>
        <w:spacing w:after="0" w:line="260" w:lineRule="auto"/>
        <w:tabs>
          <w:tab w:leader="none" w:pos="54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Consists of 21,456,302 shares beneficially held. The address for Lansdowne Partners Limited is c/o 15 Davies Street, London W1K 3AG, United Kingdom.</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Consists of 9,544,140 shares beneficially held. The address for Recordati S.p.A. is c/o Via Civitali, 1, 20148 Milano, Italy.</w:t>
      </w:r>
    </w:p>
    <w:p>
      <w:pPr>
        <w:spacing w:after="0" w:line="23" w:lineRule="exact"/>
        <w:rPr>
          <w:rFonts w:ascii="Arial" w:cs="Arial" w:eastAsia="Arial" w:hAnsi="Arial"/>
          <w:sz w:val="15"/>
          <w:szCs w:val="15"/>
          <w:color w:val="auto"/>
        </w:rPr>
      </w:pPr>
    </w:p>
    <w:p>
      <w:pPr>
        <w:ind w:left="540" w:right="180" w:hanging="424"/>
        <w:spacing w:after="0" w:line="253" w:lineRule="auto"/>
        <w:tabs>
          <w:tab w:leader="none" w:pos="54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Consists of an aggregate of 12,197,307 ordinary shares held by (i) the Zohar Family Trust I, a U.S. established trust of which Ms. Zohar is a beneficiary and trustee (ii) the Zohar Family Trust II, a U.S. established trust of which Ms. Zohar is a beneficiary (in the event of her spouse’s death) and trustee; (iii) Zohar LLC, a U.S. established limited liability company and (iv) Ms. Zohar directly. Ms. Zohar owns or has a beneficial interest in 100 percent of the share capital of Zohar LLC.</w:t>
      </w:r>
    </w:p>
    <w:p>
      <w:pPr>
        <w:spacing w:after="0" w:line="1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To our knowledge there has been no significant change in the percentage ownership held by the major shareholders listed above in the last three years, except as described in “Related Party Transactions” included in this registration statement.</w:t>
      </w:r>
    </w:p>
    <w:p>
      <w:pPr>
        <w:spacing w:after="0" w:line="170"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We are not aware that the Company is directly owned or controlled by another corporation, any foreign government or any other natural or legal person(s) severally or jointly. We are not aware of any arrangement, the operation of which may result in a change of control of the Company.</w:t>
      </w:r>
    </w:p>
    <w:p>
      <w:pPr>
        <w:spacing w:after="0" w:line="268"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with the beneficial owners of 10 percent or more of our ordinary shares, which are our only voting securities, senior management and members of our board of directors, since January 1, 2017.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Executive Officers and Directors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employment agreements with our executive officers and director compensation agreements with our non-executive directors. See “Compensation of Executive Officers and Directors.” These agreements contain customary provisions and representations, including confidentiality, non-competition and non-solicitation undertakings by the executive officers. However, the enforceability of the non-competition provisions may be limited under applicable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Invesco Relationship Agreement</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June 2015, we entered into a Relationship Agreement with Invesco Asset Management Limited, or Invesco, which came into force at the time our initial public offering in the United Kingdom. The principal purpose of the Relationship Agreement is to ensure that the Company is capable at all times of carrying on its business independently of Invesco. If any person acquires control of our Company or we cease to be admitted to the Official List, the Relationship Agreement may be terminated by Invesco. If Invesco, together with its associates, ceases to hold 30 percent or more of the voting rights over our shares, the Relationship Agreement will terminate save for certain specified provisions. As of June 30, 2020, Invesco held approximately 29 percent of our ordinary shares.</w:t>
      </w:r>
    </w:p>
    <w:p>
      <w:pPr>
        <w:spacing w:after="0" w:line="1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Relationship Agreement provided that Invesco undertake to use all reasonable endeavors to procure that its associates and any person with whom it is acting in concert shall:</w:t>
      </w:r>
    </w:p>
    <w:p>
      <w:pPr>
        <w:spacing w:after="0" w:line="76" w:lineRule="exact"/>
        <w:rPr>
          <w:sz w:val="20"/>
          <w:szCs w:val="20"/>
          <w:color w:val="auto"/>
        </w:rPr>
      </w:pPr>
    </w:p>
    <w:p>
      <w:pPr>
        <w:ind w:left="1080" w:right="100" w:hanging="424"/>
        <w:spacing w:after="0" w:line="342"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conduct all agreements, arrangements, transactions and relationships with any member of the Company on an arm’s length basis and on a normal commercial basis and in accordance with the related party transaction requirements of Chapter 11 of the Listing Rules; and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308"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not exercise any of its voting rights attaching to the shares held by it to procure any amendment to our Articles of Association of which would be inconsistent with, undermine or breach any of the provisions of the Relationship Agreement.</w:t>
      </w:r>
    </w:p>
    <w:p>
      <w:pPr>
        <w:spacing w:after="0" w:line="146"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The terms of the Relationship Agreement enabled us to carry on our business independently from Invesco and its affiliates, and ensure that all transactions and relationships between us and Invesco were and will be, at arm’s length and on a normal commercial basis.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resTORbio Series A Financing</w:t>
      </w:r>
    </w:p>
    <w:p>
      <w:pPr>
        <w:spacing w:after="0" w:line="121" w:lineRule="exact"/>
        <w:rPr>
          <w:sz w:val="20"/>
          <w:szCs w:val="20"/>
          <w:color w:val="auto"/>
        </w:rPr>
      </w:pPr>
    </w:p>
    <w:p>
      <w:pPr>
        <w:ind w:left="120" w:right="580"/>
        <w:spacing w:after="0" w:line="279" w:lineRule="auto"/>
        <w:rPr>
          <w:sz w:val="20"/>
          <w:szCs w:val="20"/>
          <w:color w:val="auto"/>
        </w:rPr>
      </w:pPr>
      <w:r>
        <w:rPr>
          <w:rFonts w:ascii="Arial" w:cs="Arial" w:eastAsia="Arial" w:hAnsi="Arial"/>
          <w:sz w:val="17"/>
          <w:szCs w:val="17"/>
          <w:color w:val="auto"/>
        </w:rPr>
        <w:t>From March 2017 to October 2017, resTORbio issued and sold shares of its Series A preferred stock for aggregate proceeds of approximately $30.0 million. PureTech Health LLC participated in such financing and invested $5.5 million in March 2017, $4.5 million in August 2017 and $9.0 million in October 2017. Our executive officer Bharatt Chowrira was elected to the board of directors of resTORbio in connection with this financing, but he was not compensated by us for his services on the board of directors.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Alivio Convertible Promissory Notes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 July 2017, Alivio issued a convertible promissory note, or the July 2017 Note, to PureTech Health LLC in the principal amount of $1.2 million. In April 2018, Alivio issued a second convertible promissory note, or the April 2018 Note, in the principal of $2.2 million. In November 2018, Alivio issued a third convertible promissory note, or the November 2018 note, in the principal of $631,071. Each of the July 2017 Note, the April 2018 Note and the November 2018 Note accrues interest at a rate of 10 percent per year. At the time of these financings, our director Robert Langer, our executive officer Eric Elenko, and our directors and executive officers Daphne Zohar and Stephen Muniz were on Alivio’s board of directors, and our executive officer Joep Muijrers was elected to replace Daphne Zohar on Alivio’s Board of Directors in connection with closing the November 2018 Note, but they were not compensated by us for their services on the board of directors.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 Convertible Promissory Notes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August 2017, Karuna issued a convertible promissory note, or the Initial August 2017 Note, to PureTech Health LLC in the principal amount of $345,819. On the same date, Karuna issued a second convertible promissory note, or the Second August 2017 Note, and together with the Initial August 2017 Note, the 2017 Notes, to PureTech Health LLC in the principal amount of up to $6.5 million. The Second August 2017 Note was payable in installments, with $3.5 million of the note drawn down upon execution of the note and an additional $3.0 million drawn down upon Karuna’s receipt of permission from the FDA to dose a second cohort in its Phase 2 clinical trial and confirmation that a material adverse event had not occurred. This second draw down occurred in January 2018. In June 2018, Karuna issued an additional convertible promissory note to PureTech Health LLC in the principal amount of $4.0 million, or the 2018 Note. The 2017 Notes and the 2018 Note accrued interest at a rate of 10 percent per year. The 2017 Notes converted at a 25 percent discount in Karuna’s Series A preferred stock financing, as further described below, and the 2018 Notes converted at no discount. Our executive officers Bharatt Chowrira, Eric Elenko, and Stephen Muniz were the board of directors of Karuna at the time of this financing, but they were not compensated by us for their services on the board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Entrega Series A-2 Financing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December 2017, Entrega issued and sold Series A-2 preferred stock for aggregate proceeds of $11.0 million. Approximately $8.4 million of outstanding principal and interest on convertible promissory notes issued by Entrega to PureTech Health LLC converted into Series A-2 preferred stock in this financing in accordance with their terms. Our directors Robert Langer and Stephen Muniz were on the board of directors of Entrega at the time of the financing but they were not compensated by us for their services on the board of directors.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Entrega Series A-2 Financing</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December 2017, Entrega issued and sold Series A-2 preferred stock for aggregate proceeds of $11.0 million. Approximately $8.4 million of outstanding principal and interest on convertible promissory notes issued by Entrega to PureTech Health LLC converted into Series A-2 preferred stock in this financing in accordance with their terms. Our directors Robert Langer and Stephen Muniz were on the board of directors of Entrega at the time of the financing but they were not compensated by us for their services on the board of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resTORbio Initial Public Offering</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In January 2018, resTORbio closed its initial public offering of 6,516,667 shares of common stock at a public offering price of $15.00 per share, which included the exercise in full by the underwriters of their option to purchase up to 850,000 additional shares. The gross proceeds from the offering were $97.8 million, before deducting underwriting discounts and commissions and estimated offering expenses. PureTech Health LLC purchased 233,333 shares of resTORbio’s common stock in the offering for an aggregate purchase price of $3.5 million. Daphne Zohar, our executive officer and director, was a member of resTORbio’s board of directors at the time of the offering, but she was not compensated by us for her services on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 Financing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2018, Gelesis issued and sold shares of preferred stock for aggregate proceeds of approximately $30 million. PureTech Health LLC invested $5 million in the financing. Our directors Raju Kucherlapati, John LaMattina and Stephen Muniz were members of the board of directors at the time of this financing, but they were not compensated by us for their services on the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Offering</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In April 2018, we completed an offering in which we issued 45,000,000 ordinary shares at 160 pence per share, which were admitted to the premium listing segment of the Official List of the Financial Conduct Authority and are trading on the main market for listed securities of the London Stock Exchange plc. The placing represented a discount of approximately 3.0 percent to the closing price of the Company’s ordinary shares on March 12, 2018. We received gross proceeds of £72 million, or $101.2 million, in the offering.</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the aggregate cash purchase price of the ordinary shares purchased by our 5 percent stockholders and their affiliates and the number of ordinary shares issued in consideration of such amounts.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CASH</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PURCHASE</w:t>
            </w: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5"/>
              </w:rPr>
              <w:t>(GBP)</w:t>
            </w:r>
          </w:p>
        </w:tc>
        <w:tc>
          <w:tcPr>
            <w:tcW w:w="10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Invesco Asset Management Limited</w:t>
            </w:r>
          </w:p>
        </w:tc>
        <w:tc>
          <w:tcPr>
            <w:tcW w:w="1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22,984,000</w:t>
            </w:r>
          </w:p>
        </w:tc>
        <w:tc>
          <w:tcPr>
            <w:tcW w:w="4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14,365,000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Lansdowne Partners Limited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7,194,101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4,496,313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Baillie Gifford &amp; Co</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Jupiter Asset Management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4,500,000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2,812,500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42,678,101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26,673,813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 Series A Financing</w:t>
      </w:r>
    </w:p>
    <w:p>
      <w:pPr>
        <w:spacing w:after="0" w:line="121"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In August 2018, Karuna issued and sold Series A preferred stock for aggregate proceeds of approximately $42.1 million. PureTech Health LLC participated in the financing and invested $4.0 million. Additionally, approximately $8.1 million of outstanding principal and interest on convertible promissory notes issued by Karuna to PureTech Health LLC, including the 2017 Notes, converted into Series A preferred stock in this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financing in accordance with their terms. Our executive officers Stephen Muniz, Eric Elenko and Bharatt Chowrira were on Karuna’s board of directors at the time of the financing but they were not compensated by us for their services on the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Vedanta Series C Financing</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December 2018 and May 2019, Vedanta Biosciences, Inc., or Vedanta, issued and sold shares of Series C preferred stock for aggregate proceeds of approximately $45.5 million. PureTech invested $5.0 million in this financing. Our directors John LaMattina and Christopher Viehbacher and our executive officer Bharatt Chowrira were on the board of directors of Vedanta at the time of the financing but they were not compensated by us for their services on the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Vor Series A-2 Financing</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February 2019, Vor issued and sold shares of Series A-2 preferred stock for aggregate proceeds of approximately $25.1 million. PureTech Health LLC participated in such offering and invested $0.6 million. Additionally, approximately $7.4 million of outstanding principal and interest on convertible promissory notes issued by Vor to PureTech Health LLC converted into Series A-2 preferred stock in this financing in accordance with their terms. In February 2020, Vor, issued and sold shares of Series A-2 preferred stock for aggregate proceeds of approximately $17.8 million. PureTech Health LLC participated in such offering and invested $0.7 million. Our executive officer Bharatt Chowrira was on Vor’s board of directors at the time of the financings but he was not compensated by us for his services on the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 Series B Financing</w:t>
      </w:r>
    </w:p>
    <w:p>
      <w:pPr>
        <w:spacing w:after="0" w:line="121"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In March and April 2019, Karuna issued and sold shares of Series B preferred stock for aggregate proceeds of approximately $82.1 million. PureTech Health LLC invested approximately $5.0 million in the financing. Our executive officers Stephen Muniz, Eric Elenko and Bharatt Chowrira were on Karuna’s board of directors at the time of the financing but they were not compensated by us for their services on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Sonde Series A-2 Financing</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April 2019, Sonde issued and sold shares of Series A-2 preferred stock for aggregate proceeds of $11.0 million. Approximately $5.8 million of outstanding principal and interest on convertible promissory notes issued by Sonde to PureTech converted into Series A-2 preferred stock in this financing in accordance with their terms. In August 2019, Sonde sold an additional 1,052,632 shares of its Series A-2 preferred stock for aggregate proceeds of $2.0 million. In January 2020 and April 2020, Sonde sold additional shares of Series A-2 preferred stock for aggregate proceeds of $4.8 million. Our executive officer Eric Elenko was on the board of directors of Sonde at the time of each of these financings, our executive officer Daphne Zohar was on the on the board of directors of Sonde at the time of the April 2019 closing and our executive officer Joep Muijrers was on the board of directors of Sonde at the time of the August 2019 closing and both 2020 closings, but they were not compensated by us for their services on the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 Issuance of Convertible Promissory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August 2019, Gelesis issued a convertible note, or the Gelesis Note, to us in the principal amount of up to $6.5 million. The Gelesis Note was payable in installments, with $2.0 million of the note drawn down upon execution of the note and an additional $3.3 million and $1.2 million drawn down on October 7, 2019 and November 5, 2019, respectively. Our director Raju Kucherlapati was a member of Gelesis’s board of directors at the time the Gelesis Note was issued, but he was not compensated by us for his services on the board.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 Series 3 Growth Preferred Stock Financing</w:t>
      </w:r>
    </w:p>
    <w:p>
      <w:pPr>
        <w:spacing w:after="0" w:line="12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December 2019, Gelesis issued 2,973,270 shares of its Series 3 Growth Preferred Stock for aggregate proceeds of $50.1 million, including approximately $10.9 million of outstanding principal and interest on convertible promissory notes issued by Gelesis, including the Gelesis Note, which converted into Series 3 Growth Preferred Stock in this financing in accordance with their terms. In addition to the 422,443 shares of Series 3 Growth Preferred Stock issued to us upon conversion of the Gelesis Note, we also purchased 464,389 shares of Series 3 Growth Preferred Stock for an aggregate purchase price of $8.0 million. In April 2020, Gelesis issued 818,990 shares of its Series 3 Growth Preferred Stock for aggregate proceeds of</w:t>
      </w:r>
    </w:p>
    <w:p>
      <w:pPr>
        <w:spacing w:after="0" w:line="2"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$14.1 million, of which we purchased 579,038 shares of Series 3 Growth Preferred Stock for an aggregate purchase price of $10.0 million. In June 2020 and August 2020, Gelesis issued 2,316,154 shares of its Series 3 Growth Preferred Stock for aggregate proceeds of $40.0 million. Our director Raju Kucherlapati was a member of Gelesis’s board of directors at the time of the financing, but he was not compensated by us for his services on the board.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Follica A-3 Preferred Stock Note Conversion Agreement</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July 2019, $18.0 million in combined principal and interest of Follica’s convertible debt converted into 17,639,204 shares of Follica’s Series A-3 Preferred Stock and 14,200,044 shares of Follica’s common stock pursuant to a Series A-3 Note Conversion Agreement between Follica and the noteholders. We held $15.5 million of the converted $18.0 million in principal and interest. Our executive officers and board members Daphne Zohar and Stephen Muniz as well as our executive officer Joep Muijrers were on Follica’s board of directors at the time of the financing, but they were not compensated by us for their services on the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Vedanta Series C-2 Financing</w:t>
      </w:r>
    </w:p>
    <w:p>
      <w:pPr>
        <w:spacing w:after="0" w:line="12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September 2019 and May 2020, Vedanta issued and sold shares of Series C-2 preferred stock for aggregate proceeds of approximately $25.7 million. Our directors John LaMattina and Christopher Viehbacher as well as our executive officer Bharatt Chowrira were on the board of directors of Vedanta at the time of the financing, but they were not compensated by us for their services on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Vor Series B Preferred Stock Financing</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July 2020, Vor Biopharma Inc., or Vor, announced a $110 Series B Financing, which financing included a June 2020 issuance and sale of shares of Series B preferred stock for aggregate proceeds of approximately $64.7 million. Vor has the potential to receive an additional $45.3 million based on the achievement of certain milestones. PureTech Health LLC participated in such offering and invested $0.5 million. Our executive officer Bharatt Chowrira was on Vor’s board of directors at the time of the financings, but he was not compensated by us for his services on the board.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Vedanta Issuance of Secured Promissory Note</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September 2020, Vedanta issued a secured promissory note, or the Vedanta Note, to Oxford Finance LLC in the principal amount of $15.0 million. The Vedanta Note is secured by Vedanta’s intellectual property, inventory and equipment. Our directors John LaMattina and Christopher Viehbacher as well as our executive Bharatt Chowrira were on the board of directors of Vedanta at the time of the financing, but they were not compensated by us for their services on the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 Sublease Agreement</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June 2019, we entered into a Sublease Agreement with Gelesis, pursuant to which we agreed to sublease certain office space in Boston, Massachusetts to Gelesis for the remainder of the term of our primary lease. Pursuant to this agreement, Gelesis is responsible for all of our payment obligations under the lease.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 License Agreement with Karuna</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March 2011, we entered into an exclusive license agreement, or the Patent License Agreement, with Karuna, pursuant to which we granted Karuna an exclusive license to patents relating to combinations of a muscarinic activator with a muscarinic inhibitor for the treatment of central nervous system disorders. In connection with the Patent License Agreement, Karuna has agreed to make milestone payments to us of up to an aggregate of $10 million upon the achievement of specified developmental, regulatory and commercial milestones. In addition, Karuna is obligated to pay us low single-digit royalties on the worldwide net sales of any commercialized product covered by the licenses granted under the Patent License Agreement. In the event that Karuna sublicenses any of the patent rights granted under the Patent License Agreement, Karuna will be obligated to pay us royalties within the range of 15 percent to 25 percent on any income Karuna receives from the sublicensee, excluding royalties. Karuna has not paid any fees to us to date pursuant to the Patent License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Royalty and Sublicense Income Agreement with Gelesis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entered into a Royalty and Sublicense Income Agreement with Gelesis, dated December 18, 2009, pursuant to which we are required to provide certain funding, management services and intellectual property relating to intellectual property. In exchange, Gelesis is required to pay us a royalty equal to 2 percent of all net product sales and 10 percent of gross sublicense income received on certain food products as a result of developing hydrogel-based products that are covered by a licensed patent that has issued and has not been revoked or abandoned. The royalty rate is subject to customary downward adjustments in the event Gelesis is required to pay third parties to obtain a license to intellectual property rights that are necessary for Gelesis to develop or commercialize our products. There are no milestone payment obligations under this agreement. Management services provided by us include advisory services on corporate strategy, general and administrative support including office space, supplies and administrative support, payroll services and website development and support. Gelesis’ obligation to pay royalties to us will terminate on a country-by-country basis upon termination or expiration of the underlying patents. To date, we have not received any royalty payments pursuant to this agreement. We do not direct or control the development and commercialization of the intellectual property sublicensed pursuant to this agreement.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Services Agreements</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were party to a business services, personnel and information management agreement with each of Vor, Akili, resTORbio and Karuna until, with respect to Vor and Akili, the date on which we no longer controlled a majority of the equity of such entities, and with respect to resTORbio and Karuna, the date of each such entity’s initial public offering. Pursuant to such agreements, we provided each of these entities with strategic medical, clinical and scientific advice, in addition to providing certain operational and administrative resources, and were reimbursed for such services.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and Investors’ Rights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party to voting and investors’ rights agreements with certain of our Founded Entities as described below:</w:t>
      </w:r>
    </w:p>
    <w:p>
      <w:pPr>
        <w:spacing w:after="0" w:line="131" w:lineRule="exact"/>
        <w:rPr>
          <w:sz w:val="20"/>
          <w:szCs w:val="20"/>
          <w:color w:val="auto"/>
        </w:rPr>
      </w:pPr>
    </w:p>
    <w:p>
      <w:pPr>
        <w:ind w:left="1080" w:right="540" w:hanging="424"/>
        <w:spacing w:after="0" w:line="263"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are party to an Amended and Restated Voting Agreement between Vor and certain of its investors, dated June 30, 2020. We held 42,656,404 shares of capital stock as of June 30, 2020, each of which is entitled to one vote and which represents, in the aggregate, 16.4 percent of the outstanding voting stock of Vor.</w:t>
      </w:r>
    </w:p>
    <w:p>
      <w:pPr>
        <w:spacing w:after="0" w:line="89"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Pursuant to an Amended and Restated Investors’ Rights Agreement, as amended, between Vedanta and certain of its investors, dated December 21, 2018, we are entitled to designate a total of four directors to Vedanta’s board of directors, including (i) two directors for so long as PureTech Health LLC continues to hold a majority of Vedanta’s Series A-1 preferred stock, and (ii) two directors for so long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86" w:lineRule="auto"/>
        <w:rPr>
          <w:sz w:val="20"/>
          <w:szCs w:val="20"/>
          <w:color w:val="auto"/>
        </w:rPr>
      </w:pPr>
      <w:r>
        <w:rPr>
          <w:rFonts w:ascii="Arial" w:cs="Arial" w:eastAsia="Arial" w:hAnsi="Arial"/>
          <w:sz w:val="17"/>
          <w:szCs w:val="17"/>
          <w:color w:val="auto"/>
        </w:rPr>
        <w:t>as PureTech Health LLC continues to hold a majority of Vedanta’s Series B preferred stock. We currently have four designees as members of Vedanta’s board of six directors and hold 5,635,020 shares of capital stock as of June 30, 2020, each of which is entitled to one vote and which represents, in the aggregate, 59.9 percent of the outstanding voting stock of Vedanta.</w:t>
      </w:r>
    </w:p>
    <w:p>
      <w:pPr>
        <w:spacing w:after="0" w:line="71" w:lineRule="exact"/>
        <w:rPr>
          <w:sz w:val="20"/>
          <w:szCs w:val="20"/>
          <w:color w:val="auto"/>
        </w:rPr>
      </w:pPr>
    </w:p>
    <w:p>
      <w:pPr>
        <w:ind w:left="1080" w:hanging="424"/>
        <w:spacing w:after="0" w:line="296"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Pursuant to the Ninth Amended and Restated Stockholders Agreement, as amended, between Gelesis and certain of its stockholders, dated December 5, 2019, we are entitled to designate two directors to Gelesis’ board of directors for so long as PureTech Health LLC and its affiliates continue to hold at least 10 percent of Gelesis’ capital stock held by PureTech Health LLC on the date of the agreement. We currently have one designee as a member of Gelesis’ board of four directors and hold 5,173,142 shares of capital stock as of June 30, 2020, each of which is entitled to one vote and which represents, in the aggregate, 26.2 percent of the outstanding voting stock of Gelesis.</w:t>
      </w:r>
    </w:p>
    <w:p>
      <w:pPr>
        <w:spacing w:after="0" w:line="66"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Pursuant to a Voting Agreement between Sonde and certain of its investors, dated April 9, 2019, we are entitled to designate one director to Sonde’s board of directors for so long as PureTech Health LLC and its affiliates continue to hold at least 1,000,000 shares of Sonde’s Series A-2 preferred stock. We currently have two designees as members of Sonde’s board of five directors and hold 7,074,241 shares of capital stock as of June 30, 2020, each of which is entitled to one vote and which represents, in the aggregate, 52.3 percent of the outstanding voting stock of Sonde.</w:t>
      </w:r>
    </w:p>
    <w:p>
      <w:pPr>
        <w:spacing w:after="0" w:line="93"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Pursuant to a Voting Agreement between Entrega and certain of its investors, dated December 18, 2017, we are entitled to designate four directors to Entrega’s board of directors. We currently have four designees as members of Entrega’s board of six directors and hold 6,300,375 shares of capital stock as of June 30, 2020, each of which is entitled to one vote and which represents, in the aggregate, 83.1 percent of the outstanding voting stock of Entrega.</w:t>
      </w:r>
    </w:p>
    <w:p>
      <w:pPr>
        <w:spacing w:after="0" w:line="92" w:lineRule="exact"/>
        <w:rPr>
          <w:rFonts w:ascii="Arial" w:cs="Arial" w:eastAsia="Arial" w:hAnsi="Arial"/>
          <w:sz w:val="18"/>
          <w:szCs w:val="18"/>
          <w:color w:val="auto"/>
        </w:rPr>
      </w:pPr>
    </w:p>
    <w:p>
      <w:pPr>
        <w:ind w:left="1080" w:right="140" w:hanging="424"/>
        <w:spacing w:after="0" w:line="25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Pursuant to the Fifth Amended and Restated Voting Agreement between Follica and certain of its investors, dated July 19, 2019, we are entitled to designate one director to Follica’s board of directors for so long as PureTech Health LLC and its affiliates continue to own at least 1,000,000 shares of Follica’s common stock. We currently have three designees as members of Follica’s board of three directors and hold 37,993,501 shares of capital stock as of June 30, 2020, each of which is entitled to one vote and which represents, in the aggregate, 85.4 percent of the outstanding voting stock of Follica.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Founded Entities Restricting Sale of Shares in Connection with an Initial Public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party to agreements containing market stand-off provisions with certain of our Founded Entities that restrict our ability to sell shares of such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Founded Entities for 180 days after their initial public offerings as follows:</w:t>
      </w:r>
    </w:p>
    <w:p>
      <w:pPr>
        <w:spacing w:after="0" w:line="116"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Second Amended and Restated Investors’ Rights Agreement between Akili and the investor parties named therein, dated May 8, 2018;</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Fifth Amended and Restated Investors’ Rights Agreement between Follica and the investor parties named therein, dated July 19, 2019;</w:t>
      </w:r>
    </w:p>
    <w:p>
      <w:pPr>
        <w:spacing w:after="0" w:line="153"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Amended and Restated Investors’ Rights Agreement between Vedanta, as amended, and the investor parties named therein, dated December 21, 2018;</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Investors’ Rights Agreement between Entrega and the investor parties named therein, dated December 18, 2017;</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Ninth Amended and Restated Stockholders Agreement between Gelesis and the stockholder parties named therein, dated December 5,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Investors’ Rights Agreement between Sonde and the investor parties named therein, dated April 9, 2019;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Amended and Restated Investors’ Rights Agreement between Vor and the investor parties named therein, dated June 30, 2020.</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Our chief executive officer, Daphne Zohar, and Yishai Zohar, the chief executive officer of Gelesis, one of our Non-Controlled Founded Entities, are husband and wife. As of June 30, 2020, we held 26.2 percent of Gelesis’ outstanding equity. Ms. Zohar does not have any direct interest in the share capital of Gelesis. Ms. Zohar recuses herself from any and all material decisions with regard to Gelesis.</w:t>
      </w:r>
    </w:p>
    <w:p>
      <w:pPr>
        <w:spacing w:after="0" w:line="310" w:lineRule="exact"/>
        <w:rPr>
          <w:sz w:val="20"/>
          <w:szCs w:val="20"/>
          <w:color w:val="auto"/>
        </w:rPr>
      </w:pPr>
    </w:p>
    <w:p>
      <w:pPr>
        <w:ind w:left="560" w:right="7040" w:hanging="444"/>
        <w:spacing w:after="0" w:line="407" w:lineRule="auto"/>
        <w:tabs>
          <w:tab w:leader="none" w:pos="5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0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131" w:lineRule="exact"/>
        <w:rPr>
          <w:sz w:val="20"/>
          <w:szCs w:val="20"/>
          <w:color w:val="auto"/>
        </w:rPr>
      </w:pPr>
    </w:p>
    <w:p>
      <w:pPr>
        <w:ind w:left="120" w:right="4320" w:hanging="4"/>
        <w:spacing w:after="0" w:line="378" w:lineRule="auto"/>
        <w:tabs>
          <w:tab w:leader="none" w:pos="55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Consolidated Financial Statements</w:t>
      </w:r>
    </w:p>
    <w:p>
      <w:pPr>
        <w:ind w:left="120" w:right="200" w:firstLine="440"/>
        <w:spacing w:after="0" w:line="277" w:lineRule="auto"/>
        <w:rPr>
          <w:sz w:val="20"/>
          <w:szCs w:val="20"/>
          <w:color w:val="auto"/>
        </w:rPr>
      </w:pPr>
      <w:r>
        <w:rPr>
          <w:rFonts w:ascii="Arial" w:cs="Arial" w:eastAsia="Arial" w:hAnsi="Arial"/>
          <w:sz w:val="18"/>
          <w:szCs w:val="18"/>
          <w:color w:val="auto"/>
        </w:rPr>
        <w:t>Our audited consolidated financial statements for the fiscal years December 31, 2019, 2018 and 2017 are included in Item 18 of this registration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From time to time, we may become involved in legal, governmental or arbitration proceedings or be subject to claims arising in the ordinary course of our business. We are not presently a party to any legal, governmental or arbitration proceeding. Regardless of the outcome, litigation can have an adverse impact on us because of defense and settlement costs, diversion of management resources and other factors.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never declared or paid any dividends on our ordinary shares, and we currently do not plan to declare or pay dividends on our ordinary shares in the foreseeable future. Under English law, we may only pay dividends if our accumulated realized profits, which have not been previously distributed or capitalized, exceed our accumulated realized losses, so far as such losses have not been previously written off in a reduction or reorganization of capital. Therefore, we must have sufficient distributable profits before issuing a dividend. Distributable profits are determined at the holding company level and not on a consolidated basis. Subject to such restrictions and to any restrictions set out in the Articles of Association, declaration and payment of cash dividends in the future, if any, will be at the discretion of our board of directors (and in the case of final dividends, must be approved by our shareholders), and will depend upon such factors as results of operations, capital requirements, contractual restrictions, our overall financial condition or applicable laws and any other factors deemed relevant by our board of directors.</w:t>
      </w:r>
    </w:p>
    <w:p>
      <w:pPr>
        <w:spacing w:after="0" w:line="323"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Except as otherwise disclosed in this registration statement, no significant change has occurred since the date of the most recent financial statements included in this registration statement.</w:t>
      </w:r>
    </w:p>
    <w:p>
      <w:pPr>
        <w:spacing w:after="0" w:line="31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principal trading market for our ordinary shares is the main market of the London Stock Exchange, where our ordinary shares have been traded since June 2015 under the ticker code “PRTC.”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intend to apply to list the ADSs on the Nasdaq Global Market under the symbol “PRTC.” For a description of the rights of our ADSs, see “Item 12. Description of Securities Other Than Equity Securities – D. American Depositary Shares.”</w:t>
      </w:r>
    </w:p>
    <w:p>
      <w:pPr>
        <w:spacing w:after="0" w:line="315" w:lineRule="exact"/>
        <w:rPr>
          <w:sz w:val="20"/>
          <w:szCs w:val="20"/>
          <w:color w:val="auto"/>
        </w:rPr>
      </w:pPr>
    </w:p>
    <w:p>
      <w:pPr>
        <w:ind w:left="560" w:right="8420" w:hanging="444"/>
        <w:spacing w:after="0" w:line="407" w:lineRule="auto"/>
        <w:tabs>
          <w:tab w:leader="none" w:pos="55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OF DISTRIBUTION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ordinary shares are trading on the London Stock Exchange. We are in the process of applying to have our ADSs listed on the Nasdaq Global Market under the symbol “PRTC.” We make no representation that such application will be approved or that our ADSs will trade on such market either now or at any time in the future.</w:t>
      </w:r>
    </w:p>
    <w:p>
      <w:pPr>
        <w:spacing w:after="0" w:line="328" w:lineRule="exact"/>
        <w:rPr>
          <w:sz w:val="20"/>
          <w:szCs w:val="20"/>
          <w:color w:val="auto"/>
        </w:rPr>
      </w:pPr>
    </w:p>
    <w:p>
      <w:pPr>
        <w:ind w:left="560" w:right="8220" w:hanging="444"/>
        <w:spacing w:after="0" w:line="407" w:lineRule="auto"/>
        <w:tabs>
          <w:tab w:leader="none" w:pos="5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SELLING SHAREHOLDERS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560" w:right="9460" w:hanging="444"/>
        <w:spacing w:after="0" w:line="488" w:lineRule="auto"/>
        <w:tabs>
          <w:tab w:leader="none" w:pos="552"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DILUTION </w:t>
      </w:r>
      <w:r>
        <w:rPr>
          <w:rFonts w:ascii="Arial" w:cs="Arial" w:eastAsia="Arial" w:hAnsi="Arial"/>
          <w:sz w:val="16"/>
          <w:szCs w:val="16"/>
          <w:color w:val="auto"/>
        </w:rPr>
        <w:t>Not applicable.</w:t>
      </w:r>
    </w:p>
    <w:p>
      <w:pPr>
        <w:spacing w:after="0" w:line="156" w:lineRule="exact"/>
        <w:rPr>
          <w:rFonts w:ascii="Arial" w:cs="Arial" w:eastAsia="Arial" w:hAnsi="Arial"/>
          <w:sz w:val="16"/>
          <w:szCs w:val="16"/>
          <w:b w:val="1"/>
          <w:bCs w:val="1"/>
          <w:color w:val="auto"/>
        </w:rPr>
      </w:pPr>
    </w:p>
    <w:p>
      <w:pPr>
        <w:ind w:left="560" w:right="8360" w:hanging="444"/>
        <w:spacing w:after="0" w:line="407" w:lineRule="auto"/>
        <w:tabs>
          <w:tab w:leader="none" w:pos="5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OF THE ISSUE </w:t>
      </w:r>
      <w:r>
        <w:rPr>
          <w:rFonts w:ascii="Arial" w:cs="Arial" w:eastAsia="Arial" w:hAnsi="Arial"/>
          <w:sz w:val="18"/>
          <w:szCs w:val="18"/>
          <w:color w:val="auto"/>
        </w:rPr>
        <w:t>Not applicable.</w:t>
      </w:r>
    </w:p>
    <w:p>
      <w:pPr>
        <w:spacing w:after="0" w:line="20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31" w:lineRule="exact"/>
        <w:rPr>
          <w:sz w:val="20"/>
          <w:szCs w:val="20"/>
          <w:color w:val="auto"/>
        </w:rPr>
      </w:pPr>
    </w:p>
    <w:p>
      <w:pPr>
        <w:ind w:left="120" w:right="9120" w:hanging="4"/>
        <w:spacing w:after="0" w:line="400" w:lineRule="auto"/>
        <w:tabs>
          <w:tab w:leader="none" w:pos="552"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 Issued Share Capital</w:t>
      </w:r>
    </w:p>
    <w:p>
      <w:pPr>
        <w:ind w:left="120" w:right="340"/>
        <w:spacing w:after="0" w:line="277" w:lineRule="auto"/>
        <w:rPr>
          <w:sz w:val="20"/>
          <w:szCs w:val="20"/>
          <w:color w:val="auto"/>
        </w:rPr>
      </w:pPr>
      <w:r>
        <w:rPr>
          <w:rFonts w:ascii="Arial" w:cs="Arial" w:eastAsia="Arial" w:hAnsi="Arial"/>
          <w:sz w:val="18"/>
          <w:szCs w:val="18"/>
          <w:color w:val="auto"/>
        </w:rPr>
        <w:t>Our issued share capital as of September 30, 2020 is 285,743,794 ordinary shares with a par value of £0.01 per ordinary share. Each issued ordinary share is fully paid. We currently have no deferred shares in our issued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holders of ordinary shares are entitled to receive dividends in proportion to the number of ordinary shares held by them and according to the amount paid up on such ordinary shares during any portion or portions of the period in respect of which the dividend is paid. Holders of ordinary shares are entitled, in proportion to the number of ordinary shares held by them and to the amounts paid up thereon, to share in any surplus in the event of our winding up. The holders of ordinary shares are entitled to receive notice of, attend either in person or by proxy or, being a corporation, by a duly authorized representative, and vote at general meetings of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Register</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an ADS holder, we will not treat you as one of our shareholders and your name will therefore not be entered into our share register. The depositary will be the holder of the shares underlying our ADSs. For discussion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ADSs and ADS holder rights see “Description of American Depositary Shares” in this registration statement. As an ADS holder, you have a right to receive the ordinary shares underlying your ADSs as discussed at “Description of American Depositary Shares—Your Right to Receive the Shares Underlying your ADSs” in this registration statement.</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are also required by the Companies Act 2006 to register a transfer of shares (or give the transferee notice of and reasons for refusal) as soon as practicable and in any event within two months of receiving notice of the transfer.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name of any person is wrongly entered in or omitted from our register of members;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there is a failure or unnecessary delay in amending the register of members to show the date a member ceased to be a member.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Under the PSP, awards of ordinary shares may be made to our directors, senior managers and employees of, and other individuals providing services to us and our subsidiaries up to a maximum authorized amount of 28,574,379 ordinary shares. During the twelve months ended December 31, 2019, we granted 3,634,183 stock option awards under the PSP.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subsidiaries have also adopted stock option plans.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dates described below, the Company issued Ordinary Shares as follows:</w:t>
      </w:r>
    </w:p>
    <w:p>
      <w:pPr>
        <w:sectPr>
          <w:pgSz w:w="11900" w:h="16838" w:orient="portrait"/>
          <w:cols w:equalWidth="0" w:num="1">
            <w:col w:w="11100"/>
          </w:cols>
          <w:pgMar w:left="320" w:top="459" w:right="479" w:bottom="1440" w:gutter="0" w:footer="0" w:header="0"/>
        </w:sect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Issue Date or Period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2017</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2018</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2019</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ended December 31,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We received a cash consideration for this issuance.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gridSpan w:val="2"/>
            <w:vMerge w:val="restart"/>
          </w:tcPr>
          <w:p>
            <w:pPr>
              <w:ind w:left="440"/>
              <w:spacing w:after="0"/>
              <w:rPr>
                <w:sz w:val="20"/>
                <w:szCs w:val="20"/>
                <w:color w:val="auto"/>
              </w:rPr>
            </w:pPr>
            <w:r>
              <w:rPr>
                <w:rFonts w:ascii="Arial" w:cs="Arial" w:eastAsia="Arial" w:hAnsi="Arial"/>
                <w:sz w:val="14"/>
                <w:szCs w:val="14"/>
                <w:color w:val="auto"/>
              </w:rPr>
              <w:t>Type of Issuance</w:t>
            </w: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Number of Ordinary</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color w:val="auto"/>
                <w:w w:val="89"/>
              </w:rPr>
              <w:t>Number of Shares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w w:val="92"/>
              </w:rPr>
              <w:t>Consideration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color w:val="auto"/>
              </w:rPr>
              <w:t>Shares Issued</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after Issuance</w:t>
            </w: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Received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Exercise of stock options</w:t>
            </w:r>
          </w:p>
        </w:tc>
        <w:tc>
          <w:tcPr>
            <w:tcW w:w="300" w:type="dxa"/>
            <w:vAlign w:val="bottom"/>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41,745</w:t>
            </w:r>
          </w:p>
        </w:tc>
        <w:tc>
          <w:tcPr>
            <w:tcW w:w="38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237,429,696</w:t>
            </w:r>
          </w:p>
        </w:tc>
        <w:tc>
          <w:tcPr>
            <w:tcW w:w="3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Follow-on offering</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45,000,000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282,429,696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34,273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282,463,969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Executive RSU awards</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29,898</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282,493,867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Acquisition of Ariya</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Therapeutics, Inc.</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2,126,338</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284,620,205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Executive RSU awards</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513,324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285,133,529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237,090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285,370,619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Exercise of stock options</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141,842</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285,512,461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512" w:lineRule="exact"/>
        <w:rPr>
          <w:sz w:val="20"/>
          <w:szCs w:val="20"/>
          <w:color w:val="auto"/>
        </w:rPr>
      </w:pPr>
    </w:p>
    <w:p>
      <w:pPr>
        <w:sectPr>
          <w:pgSz w:w="11900" w:h="16838" w:orient="portrait"/>
          <w:cols w:equalWidth="0" w:num="2">
            <w:col w:w="4360" w:space="720"/>
            <w:col w:w="6020"/>
          </w:cols>
          <w:pgMar w:left="320" w:top="459" w:right="479" w:bottom="1440" w:gutter="0" w:footer="0" w:header="0"/>
          <w:type w:val="continuous"/>
        </w:sectPr>
      </w:pPr>
    </w:p>
    <w:p>
      <w:pPr>
        <w:jc w:val="both"/>
        <w:ind w:left="540" w:right="180" w:hanging="424"/>
        <w:spacing w:after="0" w:line="263"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Prior to this issuance, we held a majority of the outstanding equity of Ariya Therapeutics, Inc., or Ariya. We issued these shares in exchange for consideration consisting of 1,775,000 shares of Ariya’s common stock and options to purchase 1,792,500 shares of Ariya’s common stock, such that we owned 100% of Ariya following the transaction.”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80" w:hanging="4"/>
        <w:spacing w:after="0" w:line="400" w:lineRule="auto"/>
        <w:tabs>
          <w:tab w:leader="none" w:pos="552"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ARTICLES OF ASSOCIATION Articles of Association</w:t>
      </w:r>
    </w:p>
    <w:p>
      <w:pPr>
        <w:ind w:left="120"/>
        <w:spacing w:after="0"/>
        <w:rPr>
          <w:sz w:val="20"/>
          <w:szCs w:val="20"/>
          <w:color w:val="auto"/>
        </w:rPr>
      </w:pPr>
      <w:r>
        <w:rPr>
          <w:rFonts w:ascii="Arial" w:cs="Arial" w:eastAsia="Arial" w:hAnsi="Arial"/>
          <w:sz w:val="18"/>
          <w:szCs w:val="18"/>
          <w:b w:val="1"/>
          <w:bCs w:val="1"/>
          <w:i w:val="1"/>
          <w:iCs w:val="1"/>
          <w:color w:val="auto"/>
        </w:rPr>
        <w:t>Objects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Section 31 of the Companies Act 2006 provides that the objects of a company are unrestricted unless any restrictions are set out in the articles. There are no such restrictions in the Articles and our objects are therefore unrestricted.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any rights or restrictions attached to any shares, on a show of hands:</w:t>
      </w:r>
    </w:p>
    <w:p>
      <w:pPr>
        <w:spacing w:after="0" w:line="131"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every shareholder who is entitled to vote on the resolution and who is present in person has one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every proxy present who has be duly appointed by one or more shareholders entitled to vote on the resolution(s) has one vote;</w:t>
      </w:r>
    </w:p>
    <w:p>
      <w:pPr>
        <w:spacing w:after="0" w:line="142" w:lineRule="exact"/>
        <w:rPr>
          <w:rFonts w:ascii="Arial" w:cs="Arial" w:eastAsia="Arial" w:hAnsi="Arial"/>
          <w:sz w:val="17"/>
          <w:szCs w:val="17"/>
          <w:color w:val="auto"/>
        </w:rPr>
      </w:pPr>
    </w:p>
    <w:p>
      <w:pPr>
        <w:ind w:left="1080" w:right="80" w:hanging="424"/>
        <w:spacing w:after="0" w:line="259"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proxy has one vote for and one vote against the resolution(s) if he has been duly appointed by more than one shareholder entitled to vote on the resolution and either (i) is instructed by one or more of those shareholders to vote for the resolution and by one or more others to vote against it; or (ii) is instructed by one or more of those shareholders to vote in one way and is given a discretion as to how to vote by one or more others (and wishes to use that discretion to vote in the other way);</w:t>
      </w:r>
    </w:p>
    <w:p>
      <w:pPr>
        <w:spacing w:after="0" w:line="9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any rights or restrictions attached to any shares, on a poll every shareholder who is entitled to vote on the resolutions and is present in person or by proxy shall have one vote for every share of which he is the holder;</w:t>
      </w:r>
    </w:p>
    <w:p>
      <w:pPr>
        <w:spacing w:after="0" w:line="75"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where there are joint holders of a share, the vote of the senior who tenders a vote, whether in person or by proxy, shall be accepted to the exclusion of the vote or votes of the other joint holder or holders. Seniority is determined by the order in which the names of the holders stand in the register;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unless the Board otherwise determines, a shareholder shall not be entitled to vote unless all calls or other sums due and payable from him in respect of shares in our company have been paid.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Subject to the Companies Act 2006 and the Articles, we may by ordinary resolution declare dividends, but no such dividends shall exceed the amount recommended by the Board. Subject to the Companies Act 2006, the Board may declare and pay such interim dividends (including any dividend payable at a fixed rate) as appear to the Board to be justified by the profits of our company available for distribution.</w:t>
      </w:r>
    </w:p>
    <w:p>
      <w:pPr>
        <w:spacing w:after="0" w:line="165"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Except as otherwise provided by the rights attached to shares, all dividends shall be declared and paid according to the amounts paid up or credited as paid up (other than amounts paid in advance of calls) on the shares in respect of which the dividend is paid and shall be apportioned and paid proportionately to the amounts paid up on such shares during any portion or portions of the period in respect of which the dividend is paid.</w:t>
      </w:r>
    </w:p>
    <w:p>
      <w:pPr>
        <w:spacing w:after="0" w:line="14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Dividends may be declared or paid in whatever currency the Board decides. Unless otherwise provided by the rights attached to the shares, dividends shall not carry a right to receive interest.</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All dividends unclaimed for a period of 12 years after having been declared or becoming due for payment shall be forfeited and cease to remain owing by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may, with the authority of an ordinary resolution of our company:</w:t>
      </w:r>
    </w:p>
    <w:p>
      <w:pPr>
        <w:spacing w:after="0" w:line="131" w:lineRule="exact"/>
        <w:rPr>
          <w:sz w:val="20"/>
          <w:szCs w:val="20"/>
          <w:color w:val="auto"/>
        </w:rPr>
      </w:pPr>
    </w:p>
    <w:p>
      <w:pPr>
        <w:ind w:left="108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offer holders of ordinary shares the right to elect to receive further ordinary shares, credited as fully paid, instead of cash in respect of all or part of any dividend or dividends specified by the ordinary resolution;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980" w:firstLine="536"/>
        <w:spacing w:after="0" w:line="527" w:lineRule="auto"/>
        <w:tabs>
          <w:tab w:leader="none" w:pos="10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direct that payment of all or part of any dividend declared may be satisfied by the distribution of specific assets. There are no fixed or specified dates on which entitlements to dividends payable by us arise.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Pre-Emption Rights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certain circumstances, shareholders may have statutory pre-emption rights under the Companies Act 2006 in respect of the allotment of new shares in our company. These statutory pre-emption rights would require us to offer new shares for allotment to existing shareholders on a pro rata basis before allotting them to other persons. In such circumstances, the procedure for the exercise of such statutory pre-emption rights would be set out in the documentation by which such shares would be offered to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of Assets on a Winding-Up</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a winding up, a liquidator may, with the authority of a special resolution of our company and any other sanction required by law divide among the shareholders in kind the whole or any part of the assets of our company, whether or not the assets consist of property of one kind or different kinds and may for such purposes set such value as he considers fair upon any one or more class or classes of property and may determine how such division shall be carried out as between the Shareholders or different classes of Shareholders. The liquidator may, with the same authority, transfer any part of the assets to trustees on such trusts for the benefit of shareholders as the liquidator, with the same authority, thinks fit and the liquidation may then be closed and our company dissolved, but so that no Shareholder shall be compelled to accept any shares or other property in respect of which there is a liability.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Every transfer of shares which are in certificated form must be in writing in any usual form or in any form approved by the Board and shall be executed by or on behalf of the transferor and (in the case of a transfer of a share which is not fully paid up) by or on behalf of the transferee.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Every transfer of shares which are in uncertificated form must be made by means of a relevant system (such as CREST).</w:t>
      </w:r>
    </w:p>
    <w:p>
      <w:pPr>
        <w:spacing w:after="0" w:line="22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Board may, in its absolute discretion and without giving reason, refuse to register any transfer of certificated shares if: (a) it is in respect of a share which is not fully paid up (provided that, if such share is admitted to trading on a recognised investment exchange, the refusal does not prevent dealings in our company’s shares from taking place on an open and proper basis); (b) it is in respect of more than one class of share; (c) it is not duly stamped (if so required)or duly certified or otherwise shown to the satisfaction of the Board to be exempt from stamp duty; or (d) it is not delivered for registration to the registered office of our company or such other place as the Board may from time to time determine, accompanied (except in the case of a transfer by a recognized person (as defined in the Articles) where a certificate has not been issued) by the relevant share certificate and such other evidence as the Board may reasonably require to show the right of the transferor to make the transfer and, if the transfer is signed by some other person on his behalf, the authority of that person to do so.</w:t>
      </w:r>
    </w:p>
    <w:p>
      <w:pPr>
        <w:spacing w:after="0" w:line="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Board may, in its absolute discretion and without giving reason, refuse to register any transfer or allotment of shares which is in favor of: (a) a child, bankrupt or person of unsound mind; or (b) more than four joint transferees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Voting Rights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a member or any person appearing to be interested in shares held by such a member has been duly served with a notice under section 793 of the Companies Act 2006 and has failed in relation to any shares (“default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Class Rights</w:t>
      </w:r>
    </w:p>
    <w:p>
      <w:pPr>
        <w:spacing w:after="0" w:line="117"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Subject to the Companies Act 2006, all or any of the rights or privileges attached to any class of shares in our company may be varied or abrogated in such manner (if any) as may be provided by such rights, or, in the absence of any such provision, either with the consent in writing of the holders of at least three-fourths of the nominal amount of the issued shares of that class or with the sanction of a special resolution passed at a separate meeting of such holders of shares of that class, but not otherwise. The quorum at any such meeting (other than an adjourned meeting) is two persons holding or representing by proxy at least one third in nominal amount of the issued shares of the class in question.</w:t>
      </w:r>
    </w:p>
    <w:p>
      <w:pPr>
        <w:spacing w:after="0" w:line="16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rights attached to any class of shares shall not, unless otherwise expressly provided in the rights attaching to such shares, be deemed to be varied or abrogated by the creation or issue of shares ranking pari passu with or subsequent to them or by the purchase or redemption by us of any of our own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 Changes in Capital and Purchase of Own Shares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Subject to the Companies Act 2006 and to the Articles, the power to allot and issue shares shall be exercised by the Board at such times and on such terms and conditions as the Board may determine.</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Articles and to any rights attached to any existing shares, any share may be issued with such rights or restrictions as we may from time to time determine by ordinary resolution.</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may issue redeemable shares and the Board may determine the terms, conditions and manner of redemption of such shares, provided it does so before the shares are allotted.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may convene a general meeting whenever it thinks fit.</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Companies Act 2006, an annual general meeting shall be called on not less than 21 clear days’ notice. All other general meetings shall be called by not less than 14 clear days’ notice.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quorum for a general meeting is two shareholders present in person or by proxy and entitled to vote.</w:t>
      </w:r>
    </w:p>
    <w:p>
      <w:pPr>
        <w:spacing w:after="0" w:line="22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Board and, at any general meeting, the chairman of the meeting may make any arrangement and impose any requirement or restriction which it or he considers appropriate to ensure the security or orderly conduct of the meeting. This may include requirements for evidence of identity to be produced by those attending, the searching of their personal property and the restriction of items which may be taken into the meeting place.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17"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Unless otherwise determined by ordinary resolution, there shall be no maximum number of directors, but the number of directors shall not be less than two. Subject to the Companies Act 2006 and the Articles, we may by 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spacing w:after="0" w:line="188" w:lineRule="exact"/>
        <w:rPr>
          <w:sz w:val="20"/>
          <w:szCs w:val="20"/>
          <w:color w:val="auto"/>
        </w:rPr>
      </w:pPr>
    </w:p>
    <w:p>
      <w:pPr>
        <w:ind w:left="120" w:right="900"/>
        <w:spacing w:after="0" w:line="342" w:lineRule="auto"/>
        <w:rPr>
          <w:sz w:val="20"/>
          <w:szCs w:val="20"/>
          <w:color w:val="auto"/>
        </w:rPr>
      </w:pPr>
      <w:r>
        <w:rPr>
          <w:rFonts w:ascii="Arial" w:cs="Arial" w:eastAsia="Arial" w:hAnsi="Arial"/>
          <w:sz w:val="16"/>
          <w:szCs w:val="16"/>
          <w:color w:val="auto"/>
        </w:rPr>
        <w:t>The Board may appoint any director to hold any employment or executive office in our company and may also revoke or terminate any such appointment (without prejudice to any claim for damages for breach of any service contract between the director and our company).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spacing w:after="0" w:line="165"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color w:val="auto"/>
        </w:rPr>
        <w:t>The Board may appoint any director to hold any employment or executive office in our company and may also revoke or terminate any such appointment (without prejudice to any claim for damages for breach of any service contract between the director and our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and Removal of Directors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Our Articles provide that at each annual general meeting of our company, one-third of the directors who are subject to retirement by rotation or, if their number is not three, the number nearest to but not exceeding one third shall retire from office unless there are fewer than three directors who are subject to retirement by rotation, in which case only one shall retire from office. However, in accordance with the U.K. Corporate Governance Code and best practice, at each annual general meeting all of our directors retire from office and put themselves forward for re-election. In addition, any director who has been a director at each of the preceding two annual general meetings shall also retire. Each such director may, if eligible, offer himself for re-election. If our company, at the meeting at which a director retires, does not fill the vacancy the retiring director shall, if willing, be deemed to have been reappointed unless it is expressly resolved not to fill the vacancy or a resolution for the reappointment of the director is put to the meeting and lost.</w:t>
      </w:r>
    </w:p>
    <w:p>
      <w:pPr>
        <w:spacing w:after="0" w:line="16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Without prejudice to the provisions of the Companies Act 2006, our company may by ordinary resolution remove any director before the expiration of his period of office and may by ordinary resolution appoint another director in his place.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Interests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Subject to the Companies Act 2006 and provided that he has disclosed to the directors the nature and extent of any interest, a director is able to enter into contracts or other arrangements with us, hold any other office (except auditor) with us or be a director, employee or otherwise interested in any company in which our company is interested. Such a director shall not be liable to account to us for any profit, remuneration or other benefit realized by any such office, employment, contract, arrangement or proposal.</w:t>
      </w:r>
    </w:p>
    <w:p>
      <w:pPr>
        <w:spacing w:after="0" w:line="18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Save as otherwise provided by the Articles, a director shall not vote on, or be counted in the quorum in relation to, any resolution of the Board concerning any contract, arrangement, transaction or proposal to which our company is or is to be a party and in which he (together with any person connected with him) is to his knowledge materially interested, directly or indirectly. Interests of which the director is not aware, interests which cannot reasonably be regarded as likely to give rise to a conflict of interest and interests arising purely as a result of an interest in our company’s shares, debentures or other securities are disregarded. However, a director can vote and be counted in the quorum where the resolution relates to any of the following:</w:t>
      </w:r>
    </w:p>
    <w:p>
      <w:pPr>
        <w:spacing w:after="0" w:line="98" w:lineRule="exact"/>
        <w:rPr>
          <w:sz w:val="20"/>
          <w:szCs w:val="20"/>
          <w:color w:val="auto"/>
        </w:rPr>
      </w:pPr>
    </w:p>
    <w:p>
      <w:pPr>
        <w:ind w:left="1080" w:right="40" w:hanging="424"/>
        <w:spacing w:after="0" w:line="25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(i) money lent or obligations incurred by him or by any other person at the request of or for the benefit of our company or any of its subsidiary undertakings or (ii) a debt or obligation of our company or any of its subsidiary undertakings for which the director himself has assumed responsibility in whole or in part under a guarantee or indemnity or by the giving of security;</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participation of the director, in an offer of securities of our company or any of its subsidiary undertakings, including participation in the underwriting or sub-underwriting of the offer;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proposal involving another company in which he and any persons connected with him has a direct or indirect interest of any kind, unless he and any persons connected with him hold an interest in shares representing one percent or more of either any class of equity share capital, or the voting rights, in such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arrangement for the benefit of employees of our company or of any of its subsidiary undertakings which does not award the director any privilege or benefit not generally awarded to the employees to whom such arrangement relates;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proposal concerning the purchase or maintenance of any insurance policy under which he may benefit;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proposal concerning indemnities in favor of directors or the funding of expenditure by one or more directors on defending proceedings against such director(s).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 director shall not vote or be counted in the quorum on any resolution of the Board concerning his own appointment (including fixing or varying the terms of his appointment or its termination) as the holder of any office or place of profit with our company or any company in which our company is interested.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Board may authorize any matter that would otherwise involve a Director breaching his duty under the Companies Act 2006 to avoid conflicts of interest, provided that the interested director(s) do not vote or count in the quorum in relation to any resolution authorizing the matter. The Board may authorize the relevant matter on such terms as it may determine including:</w:t>
      </w:r>
    </w:p>
    <w:p>
      <w:pPr>
        <w:spacing w:after="0" w:line="89"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whether the interested director(s) may vote or be counted in the quorum in relation to any resolution relating to the relevant matter;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exclusion of the interested director(s) from all information and discussion by our company of the relevant matter;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imposition of confidentiality obligations on the interested director(s).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An interested director must act in accordance with any terms determined by the Board. An authorization of a relevant matter may also provide that where the interested director obtains information that is confidential to a third party (other than through his position as director) he will not be obliged to disclose it to our company or to use it in relation to our company’s affairs, if to do so would amount to a breach of that confidence.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Powers of the Directors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Subject to the Articles and to any directions given by special resolution of the Company, the business of the Company shall be managed by the Board, which may exercise all the powers of the Company whether relating to the management of the business or not.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applicable provisions of the Companies Act 2006 differ from laws applicable to U.S. corporations and their shareholders. Set forth below is a summary of certain differences between the provisions of the Companies Act 2006 applicable to us and the Delaware General Corporation Law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00"/>
          </w:cols>
          <w:pgMar w:left="320" w:top="459" w:right="47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0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280" w:type="dxa"/>
            <w:vAlign w:val="bottom"/>
          </w:tcPr>
          <w:p>
            <w:pPr>
              <w:spacing w:after="0"/>
              <w:rPr>
                <w:sz w:val="16"/>
                <w:szCs w:val="16"/>
                <w:color w:val="auto"/>
              </w:rPr>
            </w:pPr>
          </w:p>
        </w:tc>
        <w:tc>
          <w:tcPr>
            <w:tcW w:w="3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80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2"/>
              </w:rPr>
              <w:t>Under the Companies Act 2006, a public limited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800" w:type="dxa"/>
            <w:vAlign w:val="bottom"/>
            <w:gridSpan w:val="2"/>
          </w:tcPr>
          <w:p>
            <w:pPr>
              <w:ind w:left="1280"/>
              <w:spacing w:after="0"/>
              <w:rPr>
                <w:sz w:val="20"/>
                <w:szCs w:val="20"/>
                <w:color w:val="auto"/>
              </w:rPr>
            </w:pPr>
            <w:r>
              <w:rPr>
                <w:rFonts w:ascii="Arial" w:cs="Arial" w:eastAsia="Arial" w:hAnsi="Arial"/>
                <w:sz w:val="18"/>
                <w:szCs w:val="18"/>
                <w:color w:val="auto"/>
                <w:w w:val="95"/>
              </w:rPr>
              <w:t>company must have at least two directors and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800" w:type="dxa"/>
            <w:vAlign w:val="bottom"/>
            <w:gridSpan w:val="2"/>
          </w:tcPr>
          <w:p>
            <w:pPr>
              <w:ind w:left="1280"/>
              <w:spacing w:after="0"/>
              <w:rPr>
                <w:sz w:val="20"/>
                <w:szCs w:val="20"/>
                <w:color w:val="auto"/>
              </w:rPr>
            </w:pPr>
            <w:r>
              <w:rPr>
                <w:rFonts w:ascii="Arial" w:cs="Arial" w:eastAsia="Arial" w:hAnsi="Arial"/>
                <w:sz w:val="18"/>
                <w:szCs w:val="18"/>
                <w:color w:val="auto"/>
                <w:w w:val="98"/>
              </w:rPr>
              <w:t>the number of directors may be fixed by or in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800" w:type="dxa"/>
            <w:vAlign w:val="bottom"/>
            <w:gridSpan w:val="2"/>
          </w:tcPr>
          <w:p>
            <w:pPr>
              <w:ind w:left="1280"/>
              <w:spacing w:after="0"/>
              <w:rPr>
                <w:sz w:val="20"/>
                <w:szCs w:val="20"/>
                <w:color w:val="auto"/>
              </w:rPr>
            </w:pPr>
            <w:r>
              <w:rPr>
                <w:rFonts w:ascii="Arial" w:cs="Arial" w:eastAsia="Arial" w:hAnsi="Arial"/>
                <w:sz w:val="18"/>
                <w:szCs w:val="18"/>
                <w:color w:val="auto"/>
                <w:w w:val="94"/>
              </w:rPr>
              <w:t>the manner provided in a company’s articles of</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4800" w:type="dxa"/>
            <w:vAlign w:val="bottom"/>
            <w:gridSpan w:val="2"/>
          </w:tcPr>
          <w:p>
            <w:pPr>
              <w:ind w:left="128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364"/>
        </w:trPr>
        <w:tc>
          <w:tcPr>
            <w:tcW w:w="2800" w:type="dxa"/>
            <w:vAlign w:val="bottom"/>
          </w:tcPr>
          <w:p>
            <w:pPr>
              <w:spacing w:after="0"/>
              <w:rPr>
                <w:sz w:val="24"/>
                <w:szCs w:val="24"/>
                <w:color w:val="auto"/>
              </w:rPr>
            </w:pPr>
          </w:p>
        </w:tc>
        <w:tc>
          <w:tcPr>
            <w:tcW w:w="4800" w:type="dxa"/>
            <w:vAlign w:val="bottom"/>
            <w:gridSpan w:val="2"/>
          </w:tcPr>
          <w:p>
            <w:pPr>
              <w:jc w:val="right"/>
              <w:ind w:right="187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2">
            <w:col w:w="7720" w:space="220"/>
            <w:col w:w="3160"/>
          </w:cols>
          <w:pgMar w:left="320" w:top="459" w:right="47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2820" w:type="dxa"/>
            <w:vAlign w:val="bottom"/>
          </w:tcPr>
          <w:p>
            <w:pPr>
              <w:spacing w:after="0"/>
              <w:rPr>
                <w:sz w:val="20"/>
                <w:szCs w:val="20"/>
                <w:color w:val="auto"/>
              </w:rPr>
            </w:pPr>
            <w:r>
              <w:rPr>
                <w:rFonts w:ascii="Arial" w:cs="Arial" w:eastAsia="Arial" w:hAnsi="Arial"/>
                <w:sz w:val="18"/>
                <w:szCs w:val="18"/>
                <w:color w:val="auto"/>
              </w:rPr>
              <w:t>Removal of Directors</w:t>
            </w: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Under the Companies Act 2006, shareholders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may remove a director without cause by an</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1"/>
              </w:rPr>
              <w:t>ordinary resolution (which is passed by a simple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2"/>
              </w:rPr>
              <w:t>majority of those voting in person or by proxy at</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0"/>
              </w:rPr>
              <w:t>a general meeting) irrespective of any provisions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3"/>
              </w:rPr>
              <w:t>of any service contract the director has with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company, provided 28 clear days’ notice of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89"/>
              </w:rPr>
              <w:t>resolution has been given to the company and its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89"/>
              </w:rPr>
              <w:t>shareholders. On receipt of notice of an intended</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resolution to remove a director, the company</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must forthwith send a copy of the notice to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9"/>
              </w:rPr>
              <w:t>director concerned. Certain other procedural</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7"/>
              </w:rPr>
              <w:t>requirements under the Companies Act 2006</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must also be followed such as allowing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director to make representations against his or</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her removal either at the meeting or in writing.</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6"/>
          <w:szCs w:val="16"/>
          <w:color w:val="auto"/>
        </w:rPr>
        <w:t>Under English law, the procedure by which</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directors, other than a company’s initial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directors, are appointed is generally set out in a</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company’s articles of association, provided that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where two or more persons are appointed as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directors of a public limited company by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resolution of the shareholders, resolutions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appointing each director must be voted 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6"/>
          <w:szCs w:val="16"/>
          <w:color w:val="auto"/>
        </w:rPr>
        <w:t>Under the Companies Act 2006, a public limited</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 must hold an annual general meeting</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within the six-month period following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company’s annual accounting reference date.</w:t>
      </w:r>
    </w:p>
    <w:p>
      <w:pPr>
        <w:spacing w:after="0" w:line="200" w:lineRule="exact"/>
        <w:rPr>
          <w:sz w:val="20"/>
          <w:szCs w:val="20"/>
          <w:color w:val="auto"/>
        </w:rPr>
      </w:pP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ectPr>
          <w:pgSz w:w="11900" w:h="16838" w:orient="portrait"/>
          <w:cols w:equalWidth="0" w:num="2">
            <w:col w:w="7720" w:space="220"/>
            <w:col w:w="316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3040" w:type="dxa"/>
            <w:vAlign w:val="bottom"/>
          </w:tcPr>
          <w:p>
            <w:pPr>
              <w:spacing w:after="0"/>
              <w:rPr>
                <w:sz w:val="20"/>
                <w:szCs w:val="20"/>
                <w:color w:val="auto"/>
              </w:rPr>
            </w:pPr>
            <w:r>
              <w:rPr>
                <w:rFonts w:ascii="Arial" w:cs="Arial" w:eastAsia="Arial" w:hAnsi="Arial"/>
                <w:sz w:val="18"/>
                <w:szCs w:val="18"/>
                <w:color w:val="auto"/>
              </w:rPr>
              <w:t>General Meeting</w:t>
            </w: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Under the Companies Act 2006, a general</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5"/>
              </w:rPr>
              <w:t>meeting of the shareholders of a public limited</w:t>
            </w:r>
          </w:p>
        </w:tc>
      </w:tr>
      <w:tr>
        <w:trPr>
          <w:trHeight w:val="230"/>
        </w:trPr>
        <w:tc>
          <w:tcPr>
            <w:tcW w:w="3040" w:type="dxa"/>
            <w:vAlign w:val="bottom"/>
          </w:tcPr>
          <w:p>
            <w:pPr>
              <w:spacing w:after="0"/>
              <w:rPr>
                <w:sz w:val="20"/>
                <w:szCs w:val="20"/>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company may be called by the directors.</w:t>
            </w:r>
          </w:p>
        </w:tc>
      </w:tr>
      <w:tr>
        <w:trPr>
          <w:trHeight w:val="323"/>
        </w:trPr>
        <w:tc>
          <w:tcPr>
            <w:tcW w:w="3040" w:type="dxa"/>
            <w:vAlign w:val="bottom"/>
          </w:tcPr>
          <w:p>
            <w:pPr>
              <w:spacing w:after="0"/>
              <w:rPr>
                <w:sz w:val="24"/>
                <w:szCs w:val="24"/>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6"/>
              </w:rPr>
              <w:t>Shareholders holding at least 5 percent of the</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5"/>
              </w:rPr>
              <w:t>paid-up capital of the company carrying voting</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rights at general meetings can require the</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8"/>
              </w:rPr>
              <w:t>directors to call a general meeting and, if the</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7"/>
              </w:rPr>
              <w:t>directors fail to do so within 21 days (with the</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3"/>
              </w:rPr>
              <w:t>meeting to be held not more than 28 days after</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89"/>
              </w:rPr>
              <w:t>the date of the notice),, may themselves convene</w:t>
            </w:r>
          </w:p>
        </w:tc>
      </w:tr>
      <w:tr>
        <w:trPr>
          <w:trHeight w:val="230"/>
        </w:trPr>
        <w:tc>
          <w:tcPr>
            <w:tcW w:w="3040" w:type="dxa"/>
            <w:vAlign w:val="bottom"/>
          </w:tcPr>
          <w:p>
            <w:pPr>
              <w:spacing w:after="0"/>
              <w:rPr>
                <w:sz w:val="20"/>
                <w:szCs w:val="20"/>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a general meeting.</w:t>
            </w:r>
          </w:p>
        </w:tc>
      </w:tr>
      <w:tr>
        <w:trPr>
          <w:trHeight w:val="323"/>
        </w:trPr>
        <w:tc>
          <w:tcPr>
            <w:tcW w:w="304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4"/>
              </w:rPr>
              <w:t>Under the Companies Act 2006, 21 clear days’</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notice must be given for an annual general</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4"/>
              </w:rPr>
              <w:t>meeting and any resolutions to be proposed at</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4"/>
              </w:rPr>
              <w:t>the meeting. Subject to a company’s articles of</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association providing for a longer period, at</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8"/>
              </w:rPr>
              <w:t>least 14 clear days’ notice is required for any</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other general meeting. In addition, certain</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matters, such as the removal of directors or</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0"/>
              </w:rPr>
              <w:t>auditors, require special notice, which is 28 clear</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7"/>
              </w:rPr>
              <w:t>days’ notice. The shareholders of a company</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may in all cases consent to a shorter notice</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4"/>
              </w:rPr>
              <w:t>period, the proportion of shareholders’ consent</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5"/>
              </w:rPr>
              <w:t>required being 100 percent of those entitled to</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0"/>
              </w:rPr>
              <w:t>attend and vote in the case of an annual general</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6"/>
              </w:rPr>
              <w:t>meeting and, in the case of any other general</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5"/>
              </w:rPr>
              <w:t>meeting, a majority in number of the members</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1"/>
              </w:rPr>
              <w:t>having a right to attend and vote at the meeting,</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1"/>
              </w:rPr>
              <w:t>being a majority who together hold not less than</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1"/>
              </w:rPr>
              <w:t>95 percent in nominal value of the shares giving</w:t>
            </w:r>
          </w:p>
        </w:tc>
      </w:tr>
      <w:tr>
        <w:trPr>
          <w:trHeight w:val="230"/>
        </w:trPr>
        <w:tc>
          <w:tcPr>
            <w:tcW w:w="3040" w:type="dxa"/>
            <w:vAlign w:val="bottom"/>
          </w:tcPr>
          <w:p>
            <w:pPr>
              <w:spacing w:after="0"/>
              <w:rPr>
                <w:sz w:val="20"/>
                <w:szCs w:val="20"/>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a right to attend and vote at the meeting.</w:t>
            </w:r>
          </w:p>
        </w:tc>
      </w:tr>
      <w:tr>
        <w:trPr>
          <w:trHeight w:val="310"/>
        </w:trPr>
        <w:tc>
          <w:tcPr>
            <w:tcW w:w="3040" w:type="dxa"/>
            <w:vAlign w:val="bottom"/>
          </w:tcPr>
          <w:p>
            <w:pPr>
              <w:spacing w:after="0"/>
              <w:rPr>
                <w:sz w:val="20"/>
                <w:szCs w:val="20"/>
                <w:color w:val="auto"/>
              </w:rPr>
            </w:pPr>
            <w:r>
              <w:rPr>
                <w:rFonts w:ascii="Arial" w:cs="Arial" w:eastAsia="Arial" w:hAnsi="Arial"/>
                <w:sz w:val="18"/>
                <w:szCs w:val="18"/>
                <w:color w:val="auto"/>
              </w:rPr>
              <w:t>Proxy</w:t>
            </w: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2"/>
              </w:rPr>
              <w:t>Under the Companies Act 2006, at any meeting</w:t>
            </w:r>
          </w:p>
        </w:tc>
      </w:tr>
      <w:tr>
        <w:trPr>
          <w:trHeight w:val="216"/>
        </w:trPr>
        <w:tc>
          <w:tcPr>
            <w:tcW w:w="3040" w:type="dxa"/>
            <w:vAlign w:val="bottom"/>
          </w:tcPr>
          <w:p>
            <w:pPr>
              <w:spacing w:after="0"/>
              <w:rPr>
                <w:sz w:val="18"/>
                <w:szCs w:val="18"/>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w w:val="95"/>
              </w:rPr>
              <w:t>of shareholders, a shareholder may designate</w:t>
            </w:r>
          </w:p>
        </w:tc>
      </w:tr>
      <w:tr>
        <w:trPr>
          <w:trHeight w:val="230"/>
        </w:trPr>
        <w:tc>
          <w:tcPr>
            <w:tcW w:w="3040" w:type="dxa"/>
            <w:vAlign w:val="bottom"/>
          </w:tcPr>
          <w:p>
            <w:pPr>
              <w:spacing w:after="0"/>
              <w:rPr>
                <w:sz w:val="20"/>
                <w:szCs w:val="20"/>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color w:val="auto"/>
              </w:rPr>
              <w:t>another</w:t>
            </w:r>
          </w:p>
        </w:tc>
      </w:tr>
      <w:tr>
        <w:trPr>
          <w:trHeight w:val="364"/>
        </w:trPr>
        <w:tc>
          <w:tcPr>
            <w:tcW w:w="3040" w:type="dxa"/>
            <w:vAlign w:val="bottom"/>
          </w:tcPr>
          <w:p>
            <w:pPr>
              <w:spacing w:after="0"/>
              <w:rPr>
                <w:sz w:val="24"/>
                <w:szCs w:val="24"/>
                <w:color w:val="auto"/>
              </w:rPr>
            </w:pPr>
          </w:p>
        </w:tc>
        <w:tc>
          <w:tcPr>
            <w:tcW w:w="4560" w:type="dxa"/>
            <w:vAlign w:val="bottom"/>
            <w:gridSpan w:val="2"/>
          </w:tcPr>
          <w:p>
            <w:pPr>
              <w:jc w:val="right"/>
              <w:ind w:right="1888"/>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Delaware law, at any meeting of stockholders, a stockholder may designate another</w:t>
      </w:r>
    </w:p>
    <w:p>
      <w:pPr>
        <w:sectPr>
          <w:pgSz w:w="11900" w:h="16838" w:orient="portrait"/>
          <w:cols w:equalWidth="0" w:num="2">
            <w:col w:w="7720" w:space="220"/>
            <w:col w:w="318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2371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person to attend, speak and vote at the meeting</w:t>
      </w:r>
    </w:p>
    <w:p>
      <w:pPr>
        <w:spacing w:after="0" w:line="4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on 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Companies Act 2006, “equity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securities”, being (i) shares in the company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 than shares that, with respect to dividends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capital, carry a right to participate only up to</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 specified amount in a distribution (“ordinary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shares”) or (ii) rights to subscribe for, or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convert securities into, ordinary shares,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proposed to be allotted for cash must be offered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first to the existing equity shareholders in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 in proportion to the respective nominal</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value of their holdings, unless an exception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applies or a special resolution to the contrary has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been passed by shareholders in a general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meeting or the articles of association provide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otherwise in each case in accordance with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provisions of the Companies Act 2006.</w:t>
      </w:r>
    </w:p>
    <w:p>
      <w:pPr>
        <w:spacing w:after="0" w:line="10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Companies Act 2006 the directors of</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company must not allot shares or grant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rights to subscribe for or to convert any security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into shares unless an exception applies or an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ordinary resolution to the contrary has been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passed by shareholders in a general meeting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the articles of association provide otherwise in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each case in accordance with the provisions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7720" w:space="220"/>
            <w:col w:w="316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2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default, breach of duty or breach of trust in</w:t>
            </w:r>
          </w:p>
        </w:tc>
      </w:tr>
      <w:tr>
        <w:trPr>
          <w:trHeight w:val="230"/>
        </w:trPr>
        <w:tc>
          <w:tcPr>
            <w:tcW w:w="2540" w:type="dxa"/>
            <w:vAlign w:val="bottom"/>
          </w:tcPr>
          <w:p>
            <w:pPr>
              <w:spacing w:after="0"/>
              <w:rPr>
                <w:sz w:val="20"/>
                <w:szCs w:val="20"/>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relation to the company is void.</w:t>
            </w:r>
          </w:p>
        </w:tc>
      </w:tr>
      <w:tr>
        <w:trPr>
          <w:trHeight w:val="323"/>
        </w:trPr>
        <w:tc>
          <w:tcPr>
            <w:tcW w:w="2540" w:type="dxa"/>
            <w:vAlign w:val="bottom"/>
          </w:tcPr>
          <w:p>
            <w:pPr>
              <w:spacing w:after="0"/>
              <w:rPr>
                <w:sz w:val="24"/>
                <w:szCs w:val="24"/>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7"/>
              </w:rPr>
              <w:t>Any provision by which a company directly or</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4"/>
              </w:rPr>
              <w:t>indirectly provides an indemnity, to any extent,</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0"/>
              </w:rPr>
              <w:t>for a director of the company or of an associated</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2"/>
              </w:rPr>
              <w:t>company against any liability attaching to him in</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2"/>
              </w:rPr>
              <w:t>connection with any negligence, default, breach</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of duty or breach of trust in relation to the</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6"/>
              </w:rPr>
              <w:t>company of which he is a director is also void</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0"/>
              </w:rPr>
              <w:t>except as permitted by the Companies Act 2006,</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6"/>
              </w:rPr>
              <w:t>which provides exceptions for the company to</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8"/>
              </w:rPr>
              <w:t>(a) purchase and maintain insurance against</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such liability; (b) provide a “qualifying third</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9"/>
              </w:rPr>
              <w:t>party indemnity” (being an indemnity against</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liability incurred by the director to a person</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other than the company or an associated</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2"/>
              </w:rPr>
              <w:t>company or criminal proceedings in which he is</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not convicted); and (c) provide a “qualifying</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1"/>
              </w:rPr>
              <w:t>pension scheme indemnity” (being an indemnity</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5"/>
              </w:rPr>
              <w:t>against liability incurred in connection with the</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company’s activities as trustee of an</w:t>
            </w:r>
          </w:p>
        </w:tc>
      </w:tr>
      <w:tr>
        <w:trPr>
          <w:trHeight w:val="230"/>
        </w:trPr>
        <w:tc>
          <w:tcPr>
            <w:tcW w:w="2540" w:type="dxa"/>
            <w:vAlign w:val="bottom"/>
          </w:tcPr>
          <w:p>
            <w:pPr>
              <w:spacing w:after="0"/>
              <w:rPr>
                <w:sz w:val="20"/>
                <w:szCs w:val="20"/>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occupational pension plan).</w:t>
            </w:r>
          </w:p>
        </w:tc>
      </w:tr>
      <w:tr>
        <w:trPr>
          <w:trHeight w:val="323"/>
        </w:trPr>
        <w:tc>
          <w:tcPr>
            <w:tcW w:w="2540" w:type="dxa"/>
            <w:vAlign w:val="bottom"/>
          </w:tcPr>
          <w:p>
            <w:pPr>
              <w:spacing w:after="0"/>
              <w:rPr>
                <w:sz w:val="20"/>
                <w:szCs w:val="20"/>
                <w:color w:val="auto"/>
              </w:rPr>
            </w:pPr>
            <w:r>
              <w:rPr>
                <w:rFonts w:ascii="Arial" w:cs="Arial" w:eastAsia="Arial" w:hAnsi="Arial"/>
                <w:sz w:val="18"/>
                <w:szCs w:val="18"/>
                <w:color w:val="auto"/>
              </w:rPr>
              <w:t>Voting Rights</w:t>
            </w: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0"/>
              </w:rPr>
              <w:t>Under English law, unless a poll is demanded by</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1"/>
              </w:rPr>
              <w:t>the shareholders of a company or is required by</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5"/>
              </w:rPr>
              <w:t>the chairman of the meeting or the company’s</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89"/>
              </w:rPr>
              <w:t>articles of association, shareholders shall vote on</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7"/>
              </w:rPr>
              <w:t>all resolutions on a show of hands. Under the</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3"/>
              </w:rPr>
              <w:t>Companies Act 2006, a poll may be demanded</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w w:val="95"/>
              </w:rPr>
              <w:t>by (a) not fewer than five shareholders having</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the right to vote on the resolution; (b) any</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shareholder(s) representing not less than</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10 percent of the total voting rights of all the</w:t>
            </w:r>
          </w:p>
        </w:tc>
      </w:tr>
      <w:tr>
        <w:trPr>
          <w:trHeight w:val="216"/>
        </w:trPr>
        <w:tc>
          <w:tcPr>
            <w:tcW w:w="2540" w:type="dxa"/>
            <w:vAlign w:val="bottom"/>
          </w:tcPr>
          <w:p>
            <w:pPr>
              <w:spacing w:after="0"/>
              <w:rPr>
                <w:sz w:val="18"/>
                <w:szCs w:val="18"/>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shareholders having the right to vote on the</w:t>
            </w:r>
          </w:p>
        </w:tc>
      </w:tr>
      <w:tr>
        <w:trPr>
          <w:trHeight w:val="230"/>
        </w:trPr>
        <w:tc>
          <w:tcPr>
            <w:tcW w:w="2540" w:type="dxa"/>
            <w:vAlign w:val="bottom"/>
          </w:tcPr>
          <w:p>
            <w:pPr>
              <w:spacing w:after="0"/>
              <w:rPr>
                <w:sz w:val="20"/>
                <w:szCs w:val="20"/>
                <w:color w:val="auto"/>
              </w:rPr>
            </w:pPr>
          </w:p>
        </w:tc>
        <w:tc>
          <w:tcPr>
            <w:tcW w:w="5060" w:type="dxa"/>
            <w:vAlign w:val="bottom"/>
            <w:gridSpan w:val="2"/>
          </w:tcPr>
          <w:p>
            <w:pPr>
              <w:ind w:left="1540"/>
              <w:spacing w:after="0"/>
              <w:rPr>
                <w:sz w:val="20"/>
                <w:szCs w:val="20"/>
                <w:color w:val="auto"/>
              </w:rPr>
            </w:pPr>
            <w:r>
              <w:rPr>
                <w:rFonts w:ascii="Arial" w:cs="Arial" w:eastAsia="Arial" w:hAnsi="Arial"/>
                <w:sz w:val="18"/>
                <w:szCs w:val="18"/>
                <w:color w:val="auto"/>
              </w:rPr>
              <w:t>resolution; or (c) any</w:t>
            </w:r>
          </w:p>
        </w:tc>
      </w:tr>
      <w:tr>
        <w:trPr>
          <w:trHeight w:val="365"/>
        </w:trPr>
        <w:tc>
          <w:tcPr>
            <w:tcW w:w="2540" w:type="dxa"/>
            <w:vAlign w:val="bottom"/>
          </w:tcPr>
          <w:p>
            <w:pPr>
              <w:spacing w:after="0"/>
              <w:rPr>
                <w:sz w:val="24"/>
                <w:szCs w:val="24"/>
                <w:color w:val="auto"/>
              </w:rPr>
            </w:pPr>
          </w:p>
        </w:tc>
        <w:tc>
          <w:tcPr>
            <w:tcW w:w="5060" w:type="dxa"/>
            <w:vAlign w:val="bottom"/>
            <w:gridSpan w:val="2"/>
          </w:tcPr>
          <w:p>
            <w:pPr>
              <w:jc w:val="right"/>
              <w:ind w:right="1879"/>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can limit the liability of a director for:</w:t>
      </w:r>
    </w:p>
    <w:p>
      <w:pPr>
        <w:spacing w:after="0" w:line="74" w:lineRule="exact"/>
        <w:rPr>
          <w:sz w:val="20"/>
          <w:szCs w:val="20"/>
          <w:color w:val="auto"/>
        </w:rPr>
      </w:pPr>
    </w:p>
    <w:p>
      <w:pPr>
        <w:ind w:left="360" w:right="240" w:hanging="264"/>
        <w:spacing w:after="0" w:line="263" w:lineRule="auto"/>
        <w:tabs>
          <w:tab w:leader="none" w:pos="34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35" w:lineRule="exact"/>
        <w:rPr>
          <w:rFonts w:ascii="Arial" w:cs="Arial" w:eastAsia="Arial" w:hAnsi="Arial"/>
          <w:sz w:val="18"/>
          <w:szCs w:val="18"/>
          <w:color w:val="auto"/>
        </w:rPr>
      </w:pPr>
    </w:p>
    <w:p>
      <w:pPr>
        <w:ind w:left="360" w:right="20" w:hanging="264"/>
        <w:spacing w:after="0" w:line="311" w:lineRule="auto"/>
        <w:tabs>
          <w:tab w:leader="none" w:pos="3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ind w:left="360" w:hanging="264"/>
        <w:spacing w:after="0" w:line="263" w:lineRule="auto"/>
        <w:tabs>
          <w:tab w:leader="none" w:pos="34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35" w:lineRule="exact"/>
        <w:rPr>
          <w:rFonts w:ascii="Arial" w:cs="Arial" w:eastAsia="Arial" w:hAnsi="Arial"/>
          <w:sz w:val="18"/>
          <w:szCs w:val="18"/>
          <w:color w:val="auto"/>
        </w:rPr>
      </w:pPr>
    </w:p>
    <w:p>
      <w:pPr>
        <w:ind w:left="360" w:right="60" w:hanging="264"/>
        <w:spacing w:after="0" w:line="263" w:lineRule="auto"/>
        <w:tabs>
          <w:tab w:leader="none" w:pos="34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720" w:space="220"/>
            <w:col w:w="3120"/>
          </w:cols>
          <w:pgMar w:left="320" w:top="459" w:right="5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5"/>
              </w:rPr>
              <w:t>shareholder(s) holding shares in the company</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1"/>
              </w:rPr>
              <w:t>conferring a right to vote on the resolution being</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87"/>
              </w:rPr>
              <w:t>shares on which an aggregate sum has been paid</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3"/>
              </w:rPr>
              <w:t>up equal to not less than 10 percent of the total</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8"/>
              </w:rPr>
              <w:t>sum paid up on all the shares conferring that</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6"/>
              </w:rPr>
              <w:t>right. A company’s articles of association may</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provide more extensive rights for shareholders</w:t>
            </w: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to call a poll.</w:t>
            </w:r>
          </w:p>
        </w:tc>
      </w:tr>
      <w:tr>
        <w:trPr>
          <w:trHeight w:val="323"/>
        </w:trPr>
        <w:tc>
          <w:tcPr>
            <w:tcW w:w="3540" w:type="dxa"/>
            <w:vAlign w:val="bottom"/>
          </w:tcPr>
          <w:p>
            <w:pPr>
              <w:spacing w:after="0"/>
              <w:rPr>
                <w:sz w:val="24"/>
                <w:szCs w:val="24"/>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Under English law, an ordinary resolution is</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1"/>
              </w:rPr>
              <w:t>passed on a show of hands if it is approved by a</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7"/>
              </w:rPr>
              <w:t>simple majority (more than 50 percent) of the</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0"/>
              </w:rPr>
              <w:t>votes cast by shareholders present (in person or</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by proxy) and entitled to vote. If a poll is</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2"/>
              </w:rPr>
              <w:t>demanded, an ordinary resolution is passed if it</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7"/>
              </w:rPr>
              <w:t>is approved by holders representing a simple</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majority of the total voting rights of</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9"/>
              </w:rPr>
              <w:t>shareholders present, in person or by proxy,</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who, being entitled to vote, vote on the</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resolution. Special resolutions require the</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7"/>
              </w:rPr>
              <w:t>affirmative vote of not less than 75 percent of</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89"/>
              </w:rPr>
              <w:t>the votes cast by shareholders present, in person</w:t>
            </w: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3"/>
              </w:rPr>
              <w:t>or by proxy, at the meeting and entitled to vote.</w:t>
            </w:r>
          </w:p>
        </w:tc>
      </w:tr>
      <w:tr>
        <w:trPr>
          <w:trHeight w:val="323"/>
        </w:trPr>
        <w:tc>
          <w:tcPr>
            <w:tcW w:w="354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2"/>
              </w:rPr>
              <w:t>The Companies Act 2006 provides for schemes</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of arrangement, which are arrangements or</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0"/>
              </w:rPr>
              <w:t>compromises between a company and any class</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3"/>
              </w:rPr>
              <w:t>of shareholders or creditors and used in certain</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1"/>
              </w:rPr>
              <w:t>types of reconstructions, amalgamations, capital</w:t>
            </w: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reorganizations or takeovers. These</w:t>
            </w: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arrangements require:</w:t>
            </w:r>
          </w:p>
        </w:tc>
      </w:tr>
      <w:tr>
        <w:trPr>
          <w:trHeight w:val="323"/>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3"/>
              </w:rPr>
              <w:t>•  the approval at a shareholders’ or creditors’</w:t>
            </w: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2"/>
              </w:rPr>
              <w:t>meeting convened by order of the court, of</w:t>
            </w: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a majority in number of shareholders or</w:t>
            </w: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4"/>
              </w:rPr>
              <w:t>creditors representing 75 percent in value</w:t>
            </w:r>
          </w:p>
        </w:tc>
      </w:tr>
      <w:tr>
        <w:trPr>
          <w:trHeight w:val="230"/>
        </w:trPr>
        <w:tc>
          <w:tcPr>
            <w:tcW w:w="3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of the capital held by, or debt owed</w:t>
            </w:r>
          </w:p>
        </w:tc>
      </w:tr>
      <w:tr>
        <w:trPr>
          <w:trHeight w:val="823"/>
        </w:trPr>
        <w:tc>
          <w:tcPr>
            <w:tcW w:w="3540" w:type="dxa"/>
            <w:vAlign w:val="bottom"/>
          </w:tcPr>
          <w:p>
            <w:pPr>
              <w:spacing w:after="0"/>
              <w:rPr>
                <w:sz w:val="24"/>
                <w:szCs w:val="24"/>
                <w:color w:val="auto"/>
              </w:rPr>
            </w:pPr>
          </w:p>
        </w:tc>
        <w:tc>
          <w:tcPr>
            <w:tcW w:w="4060" w:type="dxa"/>
            <w:vAlign w:val="bottom"/>
            <w:gridSpan w:val="2"/>
          </w:tcPr>
          <w:p>
            <w:pPr>
              <w:jc w:val="right"/>
              <w:ind w:right="1873"/>
              <w:spacing w:after="0"/>
              <w:rPr>
                <w:sz w:val="20"/>
                <w:szCs w:val="20"/>
                <w:color w:val="auto"/>
              </w:rPr>
            </w:pPr>
            <w:r>
              <w:rPr>
                <w:rFonts w:ascii="Arial" w:cs="Arial" w:eastAsia="Arial" w:hAnsi="Arial"/>
                <w:sz w:val="18"/>
                <w:szCs w:val="18"/>
                <w:color w:val="auto"/>
              </w:rPr>
              <w:t>251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9" w:lineRule="exact"/>
        <w:rPr>
          <w:sz w:val="20"/>
          <w:szCs w:val="20"/>
          <w:color w:val="auto"/>
        </w:rPr>
      </w:pPr>
    </w:p>
    <w:p>
      <w:pPr>
        <w:ind w:left="360" w:right="100" w:hanging="264"/>
        <w:spacing w:after="0" w:line="277" w:lineRule="auto"/>
        <w:tabs>
          <w:tab w:leader="none" w:pos="3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21" w:lineRule="exact"/>
        <w:rPr>
          <w:rFonts w:ascii="Arial" w:cs="Arial" w:eastAsia="Arial" w:hAnsi="Arial"/>
          <w:sz w:val="18"/>
          <w:szCs w:val="18"/>
          <w:color w:val="auto"/>
        </w:rPr>
      </w:pPr>
    </w:p>
    <w:p>
      <w:pPr>
        <w:ind w:left="360" w:hanging="264"/>
        <w:spacing w:after="0" w:line="296" w:lineRule="auto"/>
        <w:tabs>
          <w:tab w:leader="none" w:pos="3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w:t>
      </w:r>
    </w:p>
    <w:p>
      <w:pPr>
        <w:sectPr>
          <w:pgSz w:w="11900" w:h="16838" w:orient="portrait"/>
          <w:cols w:equalWidth="0" w:num="2">
            <w:col w:w="7720" w:space="220"/>
            <w:col w:w="318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89"/>
              </w:rPr>
              <w:t>to, the class of shareholders or creditors, or class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800"/>
              <w:spacing w:after="0"/>
              <w:rPr>
                <w:sz w:val="20"/>
                <w:szCs w:val="20"/>
                <w:color w:val="auto"/>
              </w:rPr>
            </w:pPr>
            <w:r>
              <w:rPr>
                <w:rFonts w:ascii="Arial" w:cs="Arial" w:eastAsia="Arial" w:hAnsi="Arial"/>
                <w:sz w:val="18"/>
                <w:szCs w:val="18"/>
                <w:color w:val="auto"/>
                <w:w w:val="90"/>
              </w:rPr>
              <w:t>thereof present and voting, either in person or by</w:t>
            </w:r>
          </w:p>
        </w:tc>
      </w:tr>
      <w:tr>
        <w:trPr>
          <w:trHeight w:val="230"/>
        </w:trPr>
        <w:tc>
          <w:tcPr>
            <w:tcW w:w="3280" w:type="dxa"/>
            <w:vAlign w:val="bottom"/>
          </w:tcPr>
          <w:p>
            <w:pPr>
              <w:spacing w:after="0"/>
              <w:rPr>
                <w:sz w:val="20"/>
                <w:szCs w:val="20"/>
                <w:color w:val="auto"/>
              </w:rPr>
            </w:pPr>
          </w:p>
        </w:tc>
        <w:tc>
          <w:tcPr>
            <w:tcW w:w="4320" w:type="dxa"/>
            <w:vAlign w:val="bottom"/>
            <w:gridSpan w:val="2"/>
          </w:tcPr>
          <w:p>
            <w:pPr>
              <w:ind w:left="800"/>
              <w:spacing w:after="0"/>
              <w:rPr>
                <w:sz w:val="20"/>
                <w:szCs w:val="20"/>
                <w:color w:val="auto"/>
              </w:rPr>
            </w:pPr>
            <w:r>
              <w:rPr>
                <w:rFonts w:ascii="Arial" w:cs="Arial" w:eastAsia="Arial" w:hAnsi="Arial"/>
                <w:sz w:val="18"/>
                <w:szCs w:val="18"/>
                <w:color w:val="auto"/>
              </w:rPr>
              <w:t>proxy; and</w:t>
            </w:r>
          </w:p>
        </w:tc>
      </w:tr>
      <w:tr>
        <w:trPr>
          <w:trHeight w:val="284"/>
        </w:trPr>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the approval of the court.</w:t>
            </w:r>
          </w:p>
        </w:tc>
      </w:tr>
      <w:tr>
        <w:trPr>
          <w:trHeight w:val="323"/>
        </w:trPr>
        <w:tc>
          <w:tcPr>
            <w:tcW w:w="3280" w:type="dxa"/>
            <w:vAlign w:val="bottom"/>
          </w:tcPr>
          <w:p>
            <w:pPr>
              <w:spacing w:after="0"/>
              <w:rPr>
                <w:sz w:val="20"/>
                <w:szCs w:val="20"/>
                <w:color w:val="auto"/>
              </w:rPr>
            </w:pPr>
            <w:r>
              <w:rPr>
                <w:rFonts w:ascii="Arial" w:cs="Arial" w:eastAsia="Arial" w:hAnsi="Arial"/>
                <w:sz w:val="18"/>
                <w:szCs w:val="18"/>
                <w:color w:val="auto"/>
              </w:rPr>
              <w:t>Standard of Conduct for Directors</w:t>
            </w:r>
          </w:p>
        </w:tc>
        <w:tc>
          <w:tcPr>
            <w:tcW w:w="4320" w:type="dxa"/>
            <w:vAlign w:val="bottom"/>
            <w:gridSpan w:val="2"/>
          </w:tcPr>
          <w:p>
            <w:pPr>
              <w:ind w:left="800"/>
              <w:spacing w:after="0"/>
              <w:rPr>
                <w:sz w:val="20"/>
                <w:szCs w:val="20"/>
                <w:color w:val="auto"/>
              </w:rPr>
            </w:pPr>
            <w:r>
              <w:rPr>
                <w:rFonts w:ascii="Arial" w:cs="Arial" w:eastAsia="Arial" w:hAnsi="Arial"/>
                <w:sz w:val="18"/>
                <w:szCs w:val="18"/>
                <w:color w:val="auto"/>
              </w:rPr>
              <w:t>Under English law, a director owes various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800"/>
              <w:spacing w:after="0"/>
              <w:rPr>
                <w:sz w:val="20"/>
                <w:szCs w:val="20"/>
                <w:color w:val="auto"/>
              </w:rPr>
            </w:pPr>
            <w:r>
              <w:rPr>
                <w:rFonts w:ascii="Arial" w:cs="Arial" w:eastAsia="Arial" w:hAnsi="Arial"/>
                <w:sz w:val="18"/>
                <w:szCs w:val="18"/>
                <w:color w:val="auto"/>
                <w:w w:val="96"/>
              </w:rPr>
              <w:t>statutory and fiduciary duties to the company,</w:t>
            </w:r>
          </w:p>
        </w:tc>
      </w:tr>
      <w:tr>
        <w:trPr>
          <w:trHeight w:val="230"/>
        </w:trPr>
        <w:tc>
          <w:tcPr>
            <w:tcW w:w="3280" w:type="dxa"/>
            <w:vAlign w:val="bottom"/>
          </w:tcPr>
          <w:p>
            <w:pPr>
              <w:spacing w:after="0"/>
              <w:rPr>
                <w:sz w:val="20"/>
                <w:szCs w:val="20"/>
                <w:color w:val="auto"/>
              </w:rPr>
            </w:pPr>
          </w:p>
        </w:tc>
        <w:tc>
          <w:tcPr>
            <w:tcW w:w="4320" w:type="dxa"/>
            <w:vAlign w:val="bottom"/>
            <w:gridSpan w:val="2"/>
          </w:tcPr>
          <w:p>
            <w:pPr>
              <w:ind w:left="800"/>
              <w:spacing w:after="0"/>
              <w:rPr>
                <w:sz w:val="20"/>
                <w:szCs w:val="20"/>
                <w:color w:val="auto"/>
              </w:rPr>
            </w:pPr>
            <w:r>
              <w:rPr>
                <w:rFonts w:ascii="Arial" w:cs="Arial" w:eastAsia="Arial" w:hAnsi="Arial"/>
                <w:sz w:val="18"/>
                <w:szCs w:val="18"/>
                <w:color w:val="auto"/>
              </w:rPr>
              <w:t>including:</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to act in the way he considers, in good</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faith, would be most likely to promote the</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5"/>
              </w:rPr>
              <w:t>success of the company for the benefit of</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its members as a whole;</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5"/>
              </w:rPr>
              <w:t>•  to avoid a situation in which he has, or can</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have, a direct or indirect interest that</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conflicts, or possibly conflicts, with the</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interests of the company;</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to act in accordance with the company’s</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5"/>
              </w:rPr>
              <w:t>constitution and only exercise his powers</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for the purposes for which they are</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conferred;</w:t>
            </w:r>
          </w:p>
        </w:tc>
      </w:tr>
      <w:tr>
        <w:trPr>
          <w:trHeight w:val="283"/>
        </w:trPr>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to exercise independent judgment;</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to exercise reasonable care, skill and</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diligence;</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not to accept benefits from a third party</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3"/>
              </w:rPr>
              <w:t>conferred by reason of his being a director</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or doing, or not doing, anything as a</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director; and</w:t>
            </w:r>
          </w:p>
        </w:tc>
      </w:tr>
      <w:tr>
        <w:trPr>
          <w:trHeight w:val="269"/>
        </w:trPr>
        <w:tc>
          <w:tcPr>
            <w:tcW w:w="3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8"/>
              </w:rPr>
              <w:t>•  a duty to declare any interest that he has,</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1"/>
              </w:rPr>
              <w:t>whether directly or indirectly, in a proposed</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2"/>
              </w:rPr>
              <w:t>or existing transaction or arrangement with</w:t>
            </w:r>
          </w:p>
        </w:tc>
      </w:tr>
      <w:tr>
        <w:trPr>
          <w:trHeight w:val="23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outstanding stock of a corporation entitled to vote on the matter.</w:t>
      </w:r>
    </w:p>
    <w:p>
      <w:pPr>
        <w:spacing w:after="0" w:line="200" w:lineRule="exact"/>
        <w:rPr>
          <w:sz w:val="20"/>
          <w:szCs w:val="20"/>
          <w:color w:val="auto"/>
        </w:rPr>
      </w:pPr>
    </w:p>
    <w:p>
      <w:pPr>
        <w:spacing w:after="0" w:line="3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w:t>
      </w:r>
    </w:p>
    <w:p>
      <w:pPr>
        <w:sectPr>
          <w:pgSz w:w="11900" w:h="16838" w:orient="portrait"/>
          <w:cols w:equalWidth="0" w:num="2">
            <w:col w:w="7720" w:space="220"/>
            <w:col w:w="3180"/>
          </w:cols>
          <w:pgMar w:left="320" w:top="459" w:right="45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2371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Stockholder Suits</w:t>
      </w:r>
      <w:r>
        <w:rPr>
          <w:sz w:val="20"/>
          <w:szCs w:val="20"/>
          <w:color w:val="auto"/>
        </w:rPr>
        <w:tab/>
      </w:r>
      <w:r>
        <w:rPr>
          <w:rFonts w:ascii="Arial" w:cs="Arial" w:eastAsia="Arial" w:hAnsi="Arial"/>
          <w:sz w:val="16"/>
          <w:szCs w:val="16"/>
          <w:color w:val="auto"/>
        </w:rPr>
        <w:t>Under English law, generally, the company,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rather than its shareholders, is the proper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claimant in an action in respect of a wrong done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to the company or where there is an irregularity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the company’s internal management.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Notwithstanding this general position,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Companies Act 2006 provides that (i) a court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may allow a shareholder to bring a derivative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claim (that is, an action in respect of and 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behalf of the company) in respect of a cause of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action arising from a director’s negligence,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default, breach of duty or breach of trust and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(ii) a shareholder may bring a claim for a court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order where the company’s affairs have been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are being conducted in a manner that is unfairly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prejudicial to some of its shareholders.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standard of conduct upon directors of a Delaware corporation who take any action designed to defeat a threatened change in control of the corporation.</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8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9" w:lineRule="exact"/>
        <w:rPr>
          <w:sz w:val="20"/>
          <w:szCs w:val="20"/>
          <w:color w:val="auto"/>
        </w:rPr>
      </w:pPr>
    </w:p>
    <w:p>
      <w:pPr>
        <w:ind w:left="360" w:right="80" w:hanging="264"/>
        <w:spacing w:after="0" w:line="255" w:lineRule="auto"/>
        <w:tabs>
          <w:tab w:leader="none" w:pos="3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43" w:lineRule="exact"/>
        <w:rPr>
          <w:rFonts w:ascii="Arial" w:cs="Arial" w:eastAsia="Arial" w:hAnsi="Arial"/>
          <w:sz w:val="18"/>
          <w:szCs w:val="18"/>
          <w:color w:val="auto"/>
        </w:rPr>
      </w:pPr>
    </w:p>
    <w:p>
      <w:pPr>
        <w:ind w:left="360" w:right="120" w:hanging="264"/>
        <w:spacing w:after="0" w:line="255" w:lineRule="auto"/>
        <w:tabs>
          <w:tab w:leader="none" w:pos="3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43" w:lineRule="exact"/>
        <w:rPr>
          <w:rFonts w:ascii="Arial" w:cs="Arial" w:eastAsia="Arial" w:hAnsi="Arial"/>
          <w:sz w:val="18"/>
          <w:szCs w:val="18"/>
          <w:color w:val="auto"/>
        </w:rPr>
      </w:pPr>
    </w:p>
    <w:p>
      <w:pPr>
        <w:ind w:left="360" w:right="280" w:hanging="264"/>
        <w:spacing w:after="0" w:line="277" w:lineRule="auto"/>
        <w:tabs>
          <w:tab w:leader="none" w:pos="3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state the reasons for not making the effort.</w:t>
      </w:r>
    </w:p>
    <w:p>
      <w:pPr>
        <w:spacing w:after="0" w:line="76" w:lineRule="exact"/>
        <w:rPr>
          <w:sz w:val="20"/>
          <w:szCs w:val="20"/>
          <w:color w:val="auto"/>
        </w:rPr>
      </w:pPr>
    </w:p>
    <w:p>
      <w:pPr>
        <w:sectPr>
          <w:pgSz w:w="11900" w:h="16838" w:orient="portrait"/>
          <w:cols w:equalWidth="0" w:num="2">
            <w:col w:w="7660" w:space="280"/>
            <w:col w:w="3180"/>
          </w:cols>
          <w:pgMar w:left="320" w:top="459" w:right="459" w:bottom="1440" w:gutter="0" w:footer="0" w:header="0"/>
          <w:type w:val="continuous"/>
        </w:sectPr>
      </w:pPr>
    </w:p>
    <w:p>
      <w:pPr>
        <w:ind w:left="7940"/>
        <w:spacing w:after="0"/>
        <w:rPr>
          <w:sz w:val="20"/>
          <w:szCs w:val="20"/>
          <w:color w:val="auto"/>
        </w:rPr>
      </w:pPr>
      <w:r>
        <w:rPr>
          <w:rFonts w:ascii="Arial" w:cs="Arial" w:eastAsia="Arial" w:hAnsi="Arial"/>
          <w:sz w:val="18"/>
          <w:szCs w:val="18"/>
          <w:color w:val="auto"/>
        </w:rPr>
        <w:t>Additionally, the plaintiff must remain a</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stockholder through the duration of the</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derivative suit. The action will not be</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dismissed or compromised without the</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approval of the Delaware Court of</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Chancery.</w:t>
      </w:r>
    </w:p>
    <w:p>
      <w:pPr>
        <w:spacing w:after="0" w:line="369"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Except as otherwise set forth below or as otherwise disclosed in this registration statement, we are not currently, and have not been in the last two years, party to any material contract, other than contracts entered into in the ordinary course of business. See the section titled “License Agreements” in Section 4B herein.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Other than certain economic sanctions which may be in place from time to time, there are currently no UK laws, decrees or regulations restricting the import or export of capital or affecting the remittance of dividends or other payment to holders of ordinary shares who are non-residents of the United Kingdom. Similarly, other than certain economic sanctions which may be in force from time to time, there are no limitations relating only to nonresidents of the United Kingdom under English law or the Company’s articles of association on the right to be a holder of, and to vote in respect of, the ordinary shares.</w:t>
      </w:r>
    </w:p>
    <w:p>
      <w:pPr>
        <w:spacing w:after="0" w:line="332"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United Kingdom Tax Considerations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is a general summary of certain U.K. tax considerations relating to the ownership and disposal of an ordinary share or ADS and does not address all possible tax consequences relating to an investment in an ordinary share or ADS. It is based on U.K. tax law and generally published HM Revenue &amp; Customs, or HMRC, practice (which may not be binding on HMRC) as of the date of this registration statement, both of which are subject to change, possibly with retrospective effect.</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Save as provided otherwise, this summary applies only to a person who is the absolute beneficial owner of an ordinary share or ADS and who is resident (and, in the case of an individual, domiciled) in the United Kingdom for tax purposes and who is not resident for tax purposes in any other jurisdiction and does not have a permanent establishment or fixed base in any other jurisdiction with which the holding of an ordinary share or ADS is connected (“U.K. Holders”). A person (a) who is not resident (or, if resident, is not domiciled) in the United Kingdom for tax purposes, including an individual and company who trades in the United Kingdom through a branch, agency or permanent establishment in the United Kingdom to which an ordinary share or ADS is attributable, or (b) who is resident or otherwise subject to tax in a jurisdiction outside the United Kingdom, is recommended to seek the advice of professional advisors in relation to their taxation obligations.</w:t>
      </w:r>
    </w:p>
    <w:p>
      <w:pPr>
        <w:spacing w:after="0" w:line="17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This summary is for general information only and is not intended to be, nor should it be considered to be, legal or tax advice to any particular investor. It does not address all of the tax considerations that may be relevant to specific investors in light of their particular circumstances or to investors subject to special treatment under U.K. tax law. In particular:</w:t>
      </w:r>
    </w:p>
    <w:p>
      <w:pPr>
        <w:spacing w:after="0" w:line="89" w:lineRule="exact"/>
        <w:rPr>
          <w:sz w:val="20"/>
          <w:szCs w:val="20"/>
          <w:color w:val="auto"/>
        </w:rPr>
      </w:pPr>
    </w:p>
    <w:p>
      <w:pPr>
        <w:ind w:left="1080" w:right="260" w:hanging="424"/>
        <w:spacing w:after="0" w:line="342"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this summary only applies to an absolute beneficial owner of an ordinary share or ADS and any dividend paid in respect of the ordinary share where the dividend is regarded for U.K. tax purposes as that person’s own income (and not the income of some other person);</w:t>
      </w:r>
    </w:p>
    <w:p>
      <w:pPr>
        <w:spacing w:after="0" w:line="29" w:lineRule="exact"/>
        <w:rPr>
          <w:rFonts w:ascii="Arial" w:cs="Arial" w:eastAsia="Arial" w:hAnsi="Arial"/>
          <w:sz w:val="16"/>
          <w:szCs w:val="16"/>
          <w:color w:val="auto"/>
        </w:rPr>
      </w:pPr>
    </w:p>
    <w:p>
      <w:pPr>
        <w:ind w:left="1080" w:right="20" w:hanging="424"/>
        <w:spacing w:after="0" w:line="289"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this summary: (a) only addresses the principal U.K. tax consequences for an investor who holds an ordinary share or ADS as a capital asset, (b) does not address the tax consequences that may be relevant to certain special classes of investor such as a dealer, broker or trader in shares or securities and any other person who holds an ordinary share or ADS otherwise than as an investment, (c) does not address the tax consequences for a holder that is a financial institution, insurance company, collective investment scheme, pension scheme, charity or tax-exempt organization, (d) assumes that a holder is not an officer or employee of the company (nor of any related company) and has not (and is not deemed to have) acquired the an ordinary share or ADS by virtue of an office or employment, and (e) assumes that a holder does not control or hold (and is not deemed to control or hold), either alone or together with one or more associated or connected persons, directly or indirectly (including through the holding of an ordinary share or ADS), an interest of 10 percent or more in the issued share capital (or in any class thereof), voting power, rights to profits or capital of the company, and is not otherwise connected with the company.</w:t>
      </w:r>
    </w:p>
    <w:p>
      <w:pPr>
        <w:spacing w:after="0" w:line="16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This summary further assumes that a holder of an ordinary share or ADS is the beneficial owner of the underlying ordinary share for U.K. direct tax purposes.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POTENTIAL INVESTORS IN THE ORDINARY SHARES OR ADSs SHOULD SATISFY THEMSELVES PRIOR TO INVESTING AS TO THE OVERALL TAX CONSEQUENCES, INCLUDING, SPECIFICALLY, THE CONSEQUENCES UNDER U.K. TAX LAW AND HMRC PRACTICE OF THE ACQUISITION, OWNERSHIP AND DISPOSAL OF THE ORDINARY SHARES OR ADSs, IN THEIR OWN PARTICULAR CIRCUMSTANCES BY CONSULTING THEIR TAX ADVISERS.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dividend payment in respect of an ordinary share may be made without withholding or deduction for or on account of U.K. tax.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 dividend received by individual U.K. Holders may, depending on his or her particular circumstances, be subject to U.K. income tax on the gross amount of the dividend paid.</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An individual holder of an ordinary share or ADS who is not a U.K. Holder will not be chargeable to U.K. income tax on a dividend paid by the company, unless such holder carries on (whether solely or in partnership) a trade, profession or vocation in the United Kingdom through a permanent establishment in the United Kingdom to which the ordinary share or ADS is attributable. In these circumstances, such holder may, depending on his or her individual circumstances, be chargeable to U.K. income tax on a dividend received from the company.</w:t>
      </w:r>
    </w:p>
    <w:p>
      <w:pPr>
        <w:spacing w:after="0" w:line="17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All dividends received by a UK Holder from the Company or from other sources will form part of the UK Holder’s total income for UK income tax purposes and will constitute the top slice of that income. The rate of U.K. income tax that is chargeable on dividends received in the tax year 2020/2021 by (i) an additional rate taxpayer is 38.1 percent, (ii) a higher rate taxpayer is 32.5 percent, and (iii) a basic rate taxpayer is 7.5 percent. A nil rate of income tax will apply to the first £2,000 of taxable dividend income received by an individual U.K. Holder in a tax year.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Corporation Tax</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 U.K. Holder within the charge to U.K. corporation tax may be entitled to exemption from U.K. corporation tax in respect of dividend payments, provided the dividends qualify for exemption (which is likely) and certain conditions are met (including anti-avoidance conditions). If the conditions for the exemption are not satisfied, or such U.K. Holder elects for an otherwise exempt dividend to be taxable, U.K. corporation tax will be chargeable on the gross amount of a dividend. If potential investors are in any doubt as to their position, they should consult their own professional advisers.</w:t>
      </w:r>
    </w:p>
    <w:p>
      <w:pPr>
        <w:spacing w:after="0" w:line="157"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A corporate holder of an ordinary share or ADS that is not a U.K. Holder will not be subject to U.K. corporation tax on a dividend received from the company, unless it carries on a trade in the United Kingdom through a permanent establishment to which the ordinary share or ADS is attributable. In these circumstances, such holder may, depending on its individual circumstances and if the exemption from U.K. corporation tax discussed above does not apply, be chargeable to U.K. corporation tax on dividends received from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Holders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 disposal or deemed disposal of an ordinary share or ADS by an individual U.K. Holder may, depending on his or her individual circumstances, give rise to a chargeable gain or to an allowable loss for the purpose of U.K. capital gains tax. The principal factors that will determine the capital gains tax position on a disposal of 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ordinary share or ADS are the extent to which the holder realizes any other capital gains in the tax year in which the disposal is made, the extent to which the holder has incurred capital losses in that or any earlier tax year and the level of the annual exemption for tax-free gains in that tax year (the “annual exemption”). The annual exemption for the 2020/2021 tax year is £12,500. If, after all allowable deductions, an individual U.K. Holder’s total taxable income for the year exceeds the basic rate income tax limit, a taxable capital gain accruing on a disposal of an ordinary share or an ADS is taxed at the rate of 20 percent. In other cases, a taxable capital gain accruing on a disposal of an ordinary share or ADS may be taxed at the rate of 10 percent save to the extent that any capital gains exceed the unused basic rate tax band. In that case, the rate currently applicable to the excess would be 20 percent.</w:t>
      </w:r>
    </w:p>
    <w:p>
      <w:pPr>
        <w:spacing w:after="0" w:line="19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An individual U.K. Holder who ceases to be resident in the United Kingdom (or who fails to be regarded as resident in a territory outside the United Kingdom for the purposes of double taxation relief) for a period of five tax years or less than five years and who disposes of an ordinary share or ADS during that period of temporary non-residence may be liable to U.K. capital gains tax on a chargeable gain accruing on such disposal on his or her return to the United Kingdom (or upon ceasing to be regarded as resident outside the United Kingdom for the purposes of double taxation relief) (subject to available exemptions or reliefs).</w:t>
      </w:r>
    </w:p>
    <w:p>
      <w:pPr>
        <w:spacing w:after="0" w:line="18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 disposal (or deemed disposal) of an ordinary share or ADS by a corporate U.K. Holder may give rise to a chargeable gain or an allowable loss for the purpose of U.K. corporation tax. Any gain or loss in respect of currency fluctuations over the period of holding an ordinary share or an ADS are also brought into account on a disposal.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Non-U.K. Holders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 individual holder who is not a U.K. Holder should not normally be liable to U.K. capital gains tax on capital gains realized on the disposal of an ordinary share or ADS unless such holder carries on (whether solely or in partnership) a trade, profession or vocation in the United Kingdom through a permanent establishment in the United Kingdom to which the ordinary share or ADS is attributable. In these circumstances, such holder may, depending on his or her individual circumstances, be chargeable to U.K. capital gains tax on chargeable gains arising from a disposal of his or her ordinary share or ADS.</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 corporate holder of an ordinary share or ADS that is not a U.K. Holder will not be liable for U.K. corporation tax on chargeable gains realized on the disposal of an ordinary share or ADS unless: (i) it carries on a trade in the United Kingdom through a permanent establishment to which the ordinary share or ADS is attributable; or (ii) the corporate holder is disposing of an interest in a company and that disposal is of an asset that derives 75 percent or more of its gross asset value from UK land and that holder has a substantial indirect interest in UK land (broadly at least 25 percent at any time during the previous two years). In these circumstances, a disposal (or deemed disposal) of an ordinary share or ADS by such holder may give rise to a chargeable gain or an allowable loss for the purposes of U.K. corporation tax.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Inheritance Tax</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If, for the purposes of the Double Taxation Relief (Taxes on Estates of Deceased Persons and on Gifts) Treaty United States of America Order 1979 (S1 1979/1454) between the United States and the United Kingdom, an individual holder is domiciled at the time of their death or at the time of a transfer made during their lifetime in the United States and is not a national of the United Kingdom, any ordinary share or ADS beneficially owned by that holder should not generally be subject to U.K. inheritance tax, provided that any applicable U.S. federal gift or estate tax liability is paid, except where</w:t>
      </w:r>
    </w:p>
    <w:p>
      <w:pPr>
        <w:spacing w:after="0" w:line="1" w:lineRule="exact"/>
        <w:rPr>
          <w:sz w:val="20"/>
          <w:szCs w:val="20"/>
          <w:color w:val="auto"/>
        </w:rPr>
      </w:pPr>
    </w:p>
    <w:p>
      <w:pPr>
        <w:ind w:left="120" w:hanging="4"/>
        <w:spacing w:after="0" w:line="302" w:lineRule="auto"/>
        <w:tabs>
          <w:tab w:leader="none" w:pos="3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ordinary share or ADS is part of the business property of a U.K. permanent establishment or pertain to a U.K. fixed base used for the performance of independent personal services; or (ii) the ordinary share or ADS is comprised in a settlement unless, at the time the settlement was made, the settlor was domiciled in the United States and not a national of the U.K. (in which case no charge to U.K. inheritance tax should apply).</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stamp duty and stamp duty reserve tax, or SDRT, treatment of the issue, transfer and agreement to transfer an ordinary share outside a depositary receipt system or a clearance service are discussed in the paragraphs under “</w:t>
      </w:r>
      <w:r>
        <w:rPr>
          <w:rFonts w:ascii="Arial" w:cs="Arial" w:eastAsia="Arial" w:hAnsi="Arial"/>
          <w:sz w:val="18"/>
          <w:szCs w:val="18"/>
          <w:i w:val="1"/>
          <w:iCs w:val="1"/>
          <w:color w:val="auto"/>
        </w:rPr>
        <w:t>General</w:t>
      </w:r>
      <w:r>
        <w:rPr>
          <w:rFonts w:ascii="Arial" w:cs="Arial" w:eastAsia="Arial" w:hAnsi="Arial"/>
          <w:sz w:val="18"/>
          <w:szCs w:val="18"/>
          <w:color w:val="auto"/>
        </w:rPr>
        <w:t>” below. The stamp duty and SDRT treatment of such transactions in relation to such systems are discussed in the paragraphs under “</w:t>
      </w:r>
      <w:r>
        <w:rPr>
          <w:rFonts w:ascii="Arial" w:cs="Arial" w:eastAsia="Arial" w:hAnsi="Arial"/>
          <w:sz w:val="18"/>
          <w:szCs w:val="18"/>
          <w:i w:val="1"/>
          <w:iCs w:val="1"/>
          <w:color w:val="auto"/>
        </w:rPr>
        <w:t>Depositary Receipt Systems and Clearance Services</w:t>
      </w:r>
      <w:r>
        <w:rPr>
          <w:rFonts w:ascii="Arial" w:cs="Arial" w:eastAsia="Arial" w:hAnsi="Arial"/>
          <w:sz w:val="18"/>
          <w:szCs w:val="18"/>
          <w:color w:val="auto"/>
        </w:rPr>
        <w:t>” below. The discussion below relates to the holders of our ordinary shares or ADSs wherever resident, however it should be noted that special rules may apply to certain persons such as market makers, brokers, dealers or intermediaries.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Issue of Ordinary Shares or ADSs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issue of an ordinary share or ADS does not give rise to a SDRT liability, according to the HM Revenue &amp; Customs practice and recent case law and is not subject to stamp duty.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 transfer of an ordinary share will generally be subject to stamp duty at the rate of 0.5 percent of the consideration given for the transfer (rounded up to the next £5). An exemption from stamp duty is available on an instrument transferring an ordinary share where the amount or value of the consideration is £1,000 or less, and it is certified on the instrument that the transaction effected does not form part of a larger transaction or series of transactions in respect of which the aggregate amount or value of the consideration exceeds £1,000. The purchaser normally pays the stamp duty.</w:t>
      </w:r>
    </w:p>
    <w:p>
      <w:pPr>
        <w:spacing w:after="0" w:line="15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An unconditional agreement to transfer an ordinary share will normally give rise to a charge to SDRT at the rate of 0.5 percent of the amount or value of the consideration payable for the transfer. SDRT is, in general, payable by the purchaser. If a duly stamped transfer completing an agreement to transfer is produced within six years of the date on which the agreement is made (or, if the agreement is conditional, the date on which the agreement becomes unconditional) any SDRT already paid is generally repayable, normally with interest, and any SDRT charge yet to be paid is cancelled.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ADSs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 stamp duty will, in practice, be payable on a written instrument transferring an ADS or on an unconditional agreement to transfer an ADS provided the instrument of transfer or the unconditional agreement to transfer is executed and remains at all times outside the UK. Where these conditions are not met, the transfer of, or agreement to transfer, an ADS could, depending on the circumstances, attract a charge to U.K. stamp duty at the rate of 0.5 percent of the value of the consideration. No SDRT will be payable in respect of an agreement to transfer an ADS.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Receipt Systems and Clearance Services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Based on current HM Revenue &amp; Customs practice and recent case law in respect of the European Council Directives 69/335/EC and 2009/7/EC, or the Capital Duties Directives, no SDRT is generally payable when shares are issued or transferred to a clearance service or depositary receipt system as an integral part of a raising of capital. HM Revenue &amp; Customs has confirmed that it will continue not to apply the 1.5 percent stamp duty and SDRT charge on the issue of shares (and transfers integral to the raising of capital) into overseas clearance systems and depository receipt issuers once the U.K. leaves the European Union. In addition, a recent Court of Justice of the European Union judgment (Air Berlin plc v HM Revenue &amp; Customs (2017)) held on the relevant facts that the Capital Duties Directives preclude the taxation of a transfer of legal title to shares for the sole purpose of listing those shares on a stock exchange which does not impact the beneficial ownership of the shares, but, as yet, the U.K. domestic law and HM Revenue &amp; Customs’ published practice remain unchanged and, accordingly, we anticipate that amounts on account of SDRT will continue to be collected by the depositary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receipt issuer or clearance service. Holders of ordinary shares should consult their own independent professional advisers before incurring or reimbursing the costs of such a 1.5 percent SDRT charge.</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Where an ordinary share or ADS is otherwise transferred (i) to, or to a nominee or an agent for, a person whose business is or includes the provision of clearance services or (ii) to, or to a nominee or an agent for a person whose business is or includes issuing depositary receipts, stamp duty or SDRT will generally be payable at the higher rate of 1.5 percent of the amount or value of the consideration given or, in certain circumstances, the value of the shares.</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There is an exception from the 1.5 percent charge on the transfer to, or to a nominee or agent for, a clearance service where the clearance service has made and maintained an election under section 97A(1) of the Finance Act 1986, which has been approved by HM Revenue &amp; Customs. It is understood that HM Revenue &amp; Customs regards the facilities of DTC as a clearance service for these purposes and we are not aware of any section 97A election having been made by the DTC.</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Any liability for stamp duty or SDRT in respect of a transfer into a clearance service or depositary receipt system, or in respect of a transfer within such a service, which does arise will strictly be accountable by the clearance service or depositary receipt system operator or their nominee, as the case may be, but will, in practice, be borne by the participants in the clearance service or depositary receipt system.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Ordinary Shares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U.K. stamp duty will generally be due at a rate of 0.5% of the consideration paid (rounded up to the next £5.00) on a repurchase by the company of its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the United States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summary of the material U.S. federal income tax consequences of the acquisition, ownership and disposition of our ordinary shares or ADSs is based upon current law and does not purport to be a comprehensive discussion of all the tax considerations that may be relevant to a decision to purchase our ordinary shares or ADSs. This summary is based on current provisions of the Internal Revenue Code of 1986, as amended, or the Code, existing, final, temporary and proposed U.S. Treasury Regulations, administrative rulings and judicial decisions, in each case as available on the date of this registration statement. All of the foregoing are subject to change, which change could apply retroactively and could affect the tax consequences described below.</w:t>
      </w:r>
    </w:p>
    <w:p>
      <w:pPr>
        <w:spacing w:after="0" w:line="192" w:lineRule="exact"/>
        <w:rPr>
          <w:sz w:val="20"/>
          <w:szCs w:val="20"/>
          <w:color w:val="auto"/>
        </w:rPr>
      </w:pPr>
    </w:p>
    <w:p>
      <w:pPr>
        <w:jc w:val="both"/>
        <w:ind w:left="120" w:right="40"/>
        <w:spacing w:after="0" w:line="293" w:lineRule="auto"/>
        <w:rPr>
          <w:sz w:val="20"/>
          <w:szCs w:val="20"/>
          <w:color w:val="auto"/>
        </w:rPr>
      </w:pPr>
      <w:r>
        <w:rPr>
          <w:rFonts w:ascii="Arial" w:cs="Arial" w:eastAsia="Arial" w:hAnsi="Arial"/>
          <w:sz w:val="16"/>
          <w:szCs w:val="16"/>
          <w:color w:val="auto"/>
        </w:rPr>
        <w:t xml:space="preserve">This section summarizes the material U.S. federal income tax consequences to U.S. holders and certain non-U.S. holders, each as defined below, of our ordinary shares or ADSs. This summary addresses only the U.S. federal income tax considerations for holders that acquire our ordinary shares or ADSs at their original issuance and hold our ordinary shares or ADSs as capital assets. This summary does not address all U.S. federal income tax matters that may be relevant to a particular holder. </w:t>
      </w:r>
      <w:r>
        <w:rPr>
          <w:rFonts w:ascii="Arial" w:cs="Arial" w:eastAsia="Arial" w:hAnsi="Arial"/>
          <w:sz w:val="16"/>
          <w:szCs w:val="16"/>
          <w:b w:val="1"/>
          <w:bCs w:val="1"/>
          <w:color w:val="auto"/>
        </w:rPr>
        <w:t>Each prospective investor should consult a professional tax advisor with respect to the tax consequences of</w:t>
      </w:r>
      <w:r>
        <w:rPr>
          <w:rFonts w:ascii="Arial" w:cs="Arial" w:eastAsia="Arial" w:hAnsi="Arial"/>
          <w:sz w:val="16"/>
          <w:szCs w:val="16"/>
          <w:color w:val="auto"/>
        </w:rPr>
        <w:t xml:space="preserve"> </w:t>
      </w:r>
      <w:r>
        <w:rPr>
          <w:rFonts w:ascii="Arial" w:cs="Arial" w:eastAsia="Arial" w:hAnsi="Arial"/>
          <w:sz w:val="16"/>
          <w:szCs w:val="16"/>
          <w:b w:val="1"/>
          <w:bCs w:val="1"/>
          <w:color w:val="auto"/>
        </w:rPr>
        <w:t>the acquisition, ownership or disposition of our ordinary shares or ADSs</w:t>
      </w:r>
      <w:r>
        <w:rPr>
          <w:rFonts w:ascii="Arial" w:cs="Arial" w:eastAsia="Arial" w:hAnsi="Arial"/>
          <w:sz w:val="16"/>
          <w:szCs w:val="16"/>
          <w:color w:val="auto"/>
        </w:rPr>
        <w:t>. This summary does not address tax considerations applicable to a 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ordinary shares or ADSs that may be subject to special tax rules including, without limitation, the following:</w:t>
      </w:r>
    </w:p>
    <w:p>
      <w:pPr>
        <w:spacing w:after="0" w:line="70"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dealers or traders in securities, currencies, or notional principal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 retirement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 persons who have elected to mark securities to market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persons that hold the ordinary shares as part of a hedge, straddle, conversion, constructive sale or similar transaction involving more than one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holders (whether individuals, corporations or partnerships) that are treated as expatriates for some or all U.S. federal income tax purposes;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persons who acquired the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persons holding the ADSs in connection with a trade or business conducted outside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holders that own (or are deemed to own) 10 percent or more of our ordinary shares or ADSs,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holders that have a “functional currency” other than the U.S. dollar.</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 this summary does not address any aspects of any U.S. state, local or non-U.S. tax law, alternative minimum tax, gift or estate consequences, the rules regarding qualified small business stock within the meaning of Section 1202 of the Code, any election to apply Section 1400Z-2 of the Code to gains recognized with respect to our ordinary shares, any other U.S. federal tax other than the income tax or the indirect effects on the holders of equity interests in entities that own our ordinary shares or ADSs.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the purposes of this summary, a “U.S. holder” is a beneficial owner of ordinary shares or ADSs that is (or is treated as),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 individual who is either a citizen or resident of the United States;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corporation, or other entity that is treated as a corporation for U.S. federal income tax purposes, created or organized in or under the laws of the United States or any state of the United States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U.S. person.</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 partnership holds ordinary shares or ADSs, the tax treatment of a partner will generally depend upon the status of the partner and upon the activities of the partnership. This discussion does not address the tax treatment of partnerships or other entities that are pass-through entities for U.S. federal income tax purposes or persons that hold their ordinary shares or ADSs through partnerships or other pass-through entities. A partner in a partnership or other pass-through entity that will hold our ordinary shares or ADSs should consult his, her or its tax advisor regarding the tax consequences of acquiring, holding and disposing of our ordinary shares or ADSs through a partnership or other pass-through entity, as applicable.</w:t>
      </w:r>
    </w:p>
    <w:p>
      <w:pPr>
        <w:spacing w:after="0" w:line="16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will not seek a ruling from the U.S. Internal Revenue Service, or IRS, with regard to the U.S. federal income tax treatment of an investment in our ordinary shares or ADSs, and we cannot assure you that the IRS will agree with the conclusions set forth below.</w:t>
      </w:r>
    </w:p>
    <w:p>
      <w:pPr>
        <w:spacing w:after="0" w:line="166"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PERSONS CONSIDERING AN INVESTMENT IN ORDINARY SHARES OR ADSs SHOULD CONSULT THEIR TAX ADVISORS AS TO THE PARTICULAR TAX CONSEQUENCES APPLICABLE TO THEM RELATING TO THE ACQUISITION, OWNERSHIP AND DISPOSITION OF THE ORDINARY SHARES OR ADSs, INCLUDING THE APPLICABILITY OF U.S. FEDERAL, STATE AND LOCAL TAX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ADSs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U.S. federal income tax purposes, a holder of ADSs generally will be treated as the owner of the ordinary shares represented by such ADSs. Gain or loss will generally not be recognized on account of exchanges of ordinary shares for ADSs, or of ADSs for ordinary shares. References to ordinary shares in the discussion below are deemed to include ADSs, unless context otherwise requires.</w:t>
      </w:r>
    </w:p>
    <w:p>
      <w:pPr>
        <w:spacing w:after="0" w:line="328"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consolidated financial statements of PureTech Health plc as of December 31, 2019 and 2018, and for each of the years in the three-year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93"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When this registration statement on Form 20-F becomes effective, we will be subject to the information reporting requirements of the Exchange Act applicable to foreign private issuers, and under those requirements will file reports with the SEC. The SEC also maintains a website at http://www.sec.gov from which filings may be accessed.</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for so long as we are listed on Nasdaq, or any other U.S. exchange, and are registered with the SEC, we will file with the SEC, within 120 days after the end of each fiscal year, or such applicable time as required by the SEC, an annual report on Form 20-F containing financial statements audited by an independent registered public accounting firm.</w:t>
      </w:r>
    </w:p>
    <w:p>
      <w:pPr>
        <w:spacing w:after="0" w:line="339"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information about our subsidiaries, see the section entitled “Organizational Structure” under Item 4C of this registration statement.</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For information about our quantitative and qualitative disclosures about market risk, see “Item 5B. Operating and Financial Review and Prospects— Liquidity and Capital Resources” under the sub-heading “Quantitative and Qualitative Disclosures about Financial Risks.”</w:t>
      </w:r>
    </w:p>
    <w:p>
      <w:pPr>
        <w:spacing w:after="0" w:line="29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131" w:lineRule="exact"/>
        <w:rPr>
          <w:sz w:val="20"/>
          <w:szCs w:val="20"/>
          <w:color w:val="auto"/>
        </w:rPr>
      </w:pPr>
    </w:p>
    <w:p>
      <w:pPr>
        <w:ind w:left="540" w:hanging="424"/>
        <w:spacing w:after="0"/>
        <w:tabs>
          <w:tab w:leader="none" w:pos="5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N.A.—London Branch, located at Citigroup Centre Canary Wharf, London E14 5LB D.</w:t>
      </w:r>
    </w:p>
    <w:p>
      <w:pPr>
        <w:spacing w:after="0" w:line="176"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We will appoint Citibank as depositary bank pursuant to a deposit agreement. A copy of the deposit agreement is on file with the SEC under cover of a Registration Statement on Form F-6. You may obtain a copy of the deposit agreement from the SEC’s Public Reference Room at 100 F Street, N.E.,</w:t>
      </w:r>
    </w:p>
    <w:p>
      <w:pPr>
        <w:ind w:left="120"/>
        <w:spacing w:after="0"/>
        <w:tabs>
          <w:tab w:leader="none" w:pos="8880" w:val="left"/>
        </w:tabs>
        <w:rPr>
          <w:sz w:val="20"/>
          <w:szCs w:val="20"/>
          <w:color w:val="auto"/>
        </w:rPr>
      </w:pPr>
      <w:r>
        <w:rPr>
          <w:rFonts w:ascii="Arial" w:cs="Arial" w:eastAsia="Arial" w:hAnsi="Arial"/>
          <w:sz w:val="18"/>
          <w:szCs w:val="18"/>
          <w:color w:val="auto"/>
        </w:rPr>
        <w:t>Washington, D.C. 20549 and from the SEC’s website (www.sec.gov). Please refer to Registration Number 333-</w:t>
      </w:r>
      <w:r>
        <w:rPr>
          <w:sz w:val="20"/>
          <w:szCs w:val="20"/>
          <w:color w:val="auto"/>
        </w:rPr>
        <w:tab/>
      </w:r>
      <w:r>
        <w:rPr>
          <w:rFonts w:ascii="Arial" w:cs="Arial" w:eastAsia="Arial" w:hAnsi="Arial"/>
          <w:sz w:val="16"/>
          <w:szCs w:val="16"/>
          <w:color w:val="auto"/>
        </w:rPr>
        <w:t>when retrieving such copy.</w:t>
      </w:r>
    </w:p>
    <w:p>
      <w:pPr>
        <w:spacing w:after="0" w:line="21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7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will continue to be governed by the laws of England and Wales, which may be different from the laws of the United States.</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121"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5480" w:right="1560" w:hanging="4824"/>
        <w:spacing w:after="0" w:line="449" w:lineRule="auto"/>
        <w:tabs>
          <w:tab w:leader="none" w:pos="10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 263</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4"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121"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0"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060"/>
          </w:cols>
          <w:pgMar w:left="320" w:top="459" w:right="5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Upon effectiveness of this registration statement, the ordinary shares will be deposited by us with the custodian. Upon receipt of confirmation of such deposit, the depositary bank will issue ADSs to the underwriters named in the registration statement.</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After the effectiveness of this registration statement,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English legal considerations applicable at the time of deposit.</w:t>
      </w:r>
    </w:p>
    <w:p>
      <w:pPr>
        <w:spacing w:after="0" w:line="18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bank.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76"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English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50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Each holder and beneficial owner of ADSs agrees to provide such information as the company may request in a disclosure notice given pursuant to the U.K. Companies Act 2006, as amended, or the Companies Act, 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Articles of Association. Each holder and beneficial owner of ADSs acknowledges that it understands that failure to comply with such request may result in the imposition of sanctions against the holder of the ordinary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and Articles of Association— Articles of Association.”</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depositary bank timely receives voting instructions from a holder of ADSs, it will endeavor to vote the securities (in person or by proxy)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represented by the holder’s ADSs as follows:</w:t>
      </w:r>
    </w:p>
    <w:p>
      <w:pPr>
        <w:spacing w:after="0" w:line="116" w:lineRule="exact"/>
        <w:rPr>
          <w:sz w:val="20"/>
          <w:szCs w:val="20"/>
          <w:color w:val="auto"/>
        </w:rPr>
      </w:pPr>
    </w:p>
    <w:p>
      <w:pPr>
        <w:ind w:left="1080" w:right="20" w:hanging="424"/>
        <w:spacing w:after="0" w:line="342"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29"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event of voting by poll, the depositary bank will vote (or cause the Custodian to vote) the ordinary shares held on deposit in accordance with the voting instructions received from the holders of ADSs.</w:t>
      </w:r>
    </w:p>
    <w:p>
      <w:pPr>
        <w:spacing w:after="0" w:line="17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740" w:type="dxa"/>
            <w:vAlign w:val="bottom"/>
            <w:gridSpan w:val="2"/>
          </w:tcPr>
          <w:p>
            <w:pPr>
              <w:ind w:left="2500"/>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6"/>
                <w:szCs w:val="16"/>
                <w:color w:val="auto"/>
              </w:rPr>
            </w:pPr>
          </w:p>
        </w:tc>
        <w:tc>
          <w:tcPr>
            <w:tcW w:w="5180" w:type="dxa"/>
            <w:vAlign w:val="bottom"/>
          </w:tcPr>
          <w:p>
            <w:pPr>
              <w:ind w:left="240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  Issuance of ADSs (e.g., an issuance of ADS upon a deposit of ordinary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7"/>
              </w:rPr>
              <w:t>shares, upon a change in the ADS(s)-to-ordinary share(s) ratio, or for</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5"/>
              </w:rPr>
              <w:t>any other reason), excluding ADS issuances as a result of distributions</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of ordinary shares)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  Cancellation of ADSs (e.g., a cancellation of ADSs for delivery of</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cancelled</w:t>
            </w: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6"/>
              </w:rPr>
              <w:t>deposited property, upon a change in the ADS(s)-to-ordinary share(s)</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ratio, or for any other reason)</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w w:val="99"/>
              </w:rPr>
              <w:t>•  Distribution of cash dividends or other cash distributions (e.g., upon a</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sale of rights and other entitlements)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5740" w:type="dxa"/>
            <w:vAlign w:val="bottom"/>
            <w:gridSpan w:val="2"/>
          </w:tcPr>
          <w:p>
            <w:pPr>
              <w:ind w:left="53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Pr>
          <w:p>
            <w:pPr>
              <w:ind w:left="80"/>
              <w:spacing w:after="0" w:line="195" w:lineRule="exact"/>
              <w:rPr>
                <w:sz w:val="20"/>
                <w:szCs w:val="20"/>
                <w:color w:val="auto"/>
              </w:rPr>
            </w:pPr>
            <w:r>
              <w:rPr>
                <w:rFonts w:ascii="Arial" w:cs="Arial" w:eastAsia="Arial" w:hAnsi="Arial"/>
                <w:sz w:val="18"/>
                <w:szCs w:val="18"/>
                <w:color w:val="auto"/>
                <w:w w:val="95"/>
              </w:rPr>
              <w:t>•  Distribution of ADSs pursuant to (i) share dividends or other free share</w:t>
            </w: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ADS Services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562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established by the depositary bank</w:t>
            </w: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4"/>
              </w:rPr>
              <w:t>•  Registration of ADS transfers (e.g., upon a registration of the transfer of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(or fraction thereof) transferred</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5"/>
              </w:rPr>
              <w:t>registered ownership of ADSs, upon a transfer of ADSs into DTC and</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2"/>
              </w:rPr>
              <w:t>•  Conversion of ADSs of one series for ADSs of another series (e.g., upon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(or fraction thereof) converted</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9"/>
              </w:rPr>
              <w:t>conversion of partial entitlement ADSs for full entitlement ADSs, 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8"/>
              </w:rPr>
              <w:t>upon conversion of restricted ADSs (each as defined in the deposit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 xml:space="preserve">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bank, the custodian, or any nominee in connection with the ADR program.</w:t>
      </w:r>
    </w:p>
    <w:p>
      <w:pPr>
        <w:spacing w:after="0" w:line="248"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auto"/>
        </w:rPr>
        <w:t>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purchase of ADSs.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depositary bank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and the depositary bank disclaim any liability by reason of any exercise of, or failure to exercise, any discretion provided for in the deposit agreement or in our Articles of Association or in any provisions of or governing the securities on deposit.</w:t>
      </w:r>
    </w:p>
    <w:p>
      <w:pPr>
        <w:spacing w:after="0" w:line="51"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jc w:val="both"/>
        <w:ind w:left="1080" w:right="320" w:hanging="424"/>
        <w:spacing w:after="0" w:line="342"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N.A. (or its affiliates) from engaging in transactions in which parties adverse to us or the holders or beneficial owners of ADS have interests, and nothing in the deposit agreement obligates Citibank, N.A. to disclose those transactions, or any information obtained in the course of those transactions, to us or to the holders or beneficial owners of ADS, or to account for any payment received as part of those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76" w:lineRule="exact"/>
        <w:rPr>
          <w:sz w:val="20"/>
          <w:szCs w:val="20"/>
          <w:color w:val="auto"/>
        </w:rPr>
      </w:pPr>
    </w:p>
    <w:p>
      <w:pPr>
        <w:ind w:left="1080" w:right="16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66"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OR RELATING TO, THE DEPOSIT AGREEMENT OR THE ADRs, OR ANYTHING CONTAINED THEREIN AGAINST US AND/OR THE DEPOSITARY.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080"/>
          </w:cols>
          <w:pgMar w:left="320" w:top="459" w:right="499" w:bottom="1440" w:gutter="0" w:footer="0" w:header="0"/>
        </w:sectPr>
      </w:pPr>
    </w:p>
    <w:bookmarkStart w:id="277" w:name="page278"/>
    <w:bookmarkEnd w:id="2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DEFAULTS, DIVIDEND ARREARAGES AND DELINQUENCIES</w:t>
      </w:r>
    </w:p>
    <w:p>
      <w:pPr>
        <w:spacing w:after="0" w:line="132" w:lineRule="exact"/>
        <w:rPr>
          <w:sz w:val="20"/>
          <w:szCs w:val="20"/>
          <w:color w:val="auto"/>
        </w:rPr>
      </w:pPr>
    </w:p>
    <w:p>
      <w:pPr>
        <w:sectPr>
          <w:pgSz w:w="11900" w:h="16838" w:orient="portrait"/>
          <w:cols w:equalWidth="0" w:num="2">
            <w:col w:w="860" w:space="460"/>
            <w:col w:w="88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sectPr>
          <w:pgSz w:w="11900" w:h="16838" w:orient="portrait"/>
          <w:cols w:equalWidth="0" w:num="2">
            <w:col w:w="860" w:space="460"/>
            <w:col w:w="88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CONTROLS AND PROCEDURES</w:t>
      </w:r>
    </w:p>
    <w:p>
      <w:pPr>
        <w:spacing w:after="0" w:line="132" w:lineRule="exact"/>
        <w:rPr>
          <w:sz w:val="20"/>
          <w:szCs w:val="20"/>
          <w:color w:val="auto"/>
        </w:rPr>
      </w:pPr>
    </w:p>
    <w:p>
      <w:pPr>
        <w:sectPr>
          <w:pgSz w:w="11900" w:h="16838" w:orient="portrait"/>
          <w:cols w:equalWidth="0" w:num="2">
            <w:col w:w="860" w:space="460"/>
            <w:col w:w="88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sectPr>
          <w:pgSz w:w="11900" w:h="16838" w:orient="portrait"/>
          <w:cols w:equalWidth="0" w:num="2">
            <w:col w:w="1000" w:space="320"/>
            <w:col w:w="88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16B.</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sectPr>
          <w:pgSz w:w="11900" w:h="16838" w:orient="portrait"/>
          <w:cols w:equalWidth="0" w:num="2">
            <w:col w:w="980" w:space="44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ACCOUNTANT FEES AND SERVICES</w:t>
      </w:r>
    </w:p>
    <w:p>
      <w:pPr>
        <w:spacing w:after="0" w:line="132" w:lineRule="exact"/>
        <w:rPr>
          <w:sz w:val="20"/>
          <w:szCs w:val="20"/>
          <w:color w:val="auto"/>
        </w:rPr>
      </w:pPr>
    </w:p>
    <w:p>
      <w:pPr>
        <w:sectPr>
          <w:pgSz w:w="11900" w:h="16838" w:orient="portrait"/>
          <w:cols w:equalWidth="0" w:num="2">
            <w:col w:w="1000" w:space="42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THE LISTING STANDARDS FOR AUDIT COMMITTEES</w:t>
      </w:r>
    </w:p>
    <w:p>
      <w:pPr>
        <w:spacing w:after="0" w:line="121" w:lineRule="exact"/>
        <w:rPr>
          <w:sz w:val="20"/>
          <w:szCs w:val="20"/>
          <w:color w:val="auto"/>
        </w:rPr>
      </w:pPr>
    </w:p>
    <w:p>
      <w:pPr>
        <w:sectPr>
          <w:pgSz w:w="11900" w:h="16838" w:orient="portrait"/>
          <w:cols w:equalWidth="0" w:num="2">
            <w:col w:w="1000" w:space="42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32" w:lineRule="exact"/>
        <w:rPr>
          <w:sz w:val="20"/>
          <w:szCs w:val="20"/>
          <w:color w:val="auto"/>
        </w:rPr>
      </w:pPr>
    </w:p>
    <w:p>
      <w:pPr>
        <w:sectPr>
          <w:pgSz w:w="11900" w:h="16838" w:orient="portrait"/>
          <w:cols w:equalWidth="0" w:num="2">
            <w:col w:w="980" w:space="44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16F.</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sectPr>
          <w:pgSz w:w="11900" w:h="16838" w:orient="portrait"/>
          <w:cols w:equalWidth="0" w:num="2">
            <w:col w:w="960" w:space="46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132" w:lineRule="exact"/>
        <w:rPr>
          <w:sz w:val="20"/>
          <w:szCs w:val="20"/>
          <w:color w:val="auto"/>
        </w:rPr>
      </w:pPr>
    </w:p>
    <w:p>
      <w:pPr>
        <w:sectPr>
          <w:pgSz w:w="11900" w:h="16838" w:orient="portrait"/>
          <w:cols w:equalWidth="0" w:num="2">
            <w:col w:w="1000" w:space="42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139"/>
          </w:cols>
          <w:pgMar w:left="320" w:top="459" w:right="1440"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sectPr>
          <w:pgSz w:w="11900" w:h="16838" w:orient="portrait"/>
          <w:cols w:equalWidth="0" w:num="2">
            <w:col w:w="1000" w:space="420"/>
            <w:col w:w="8719"/>
          </w:cols>
          <w:pgMar w:left="320" w:top="459" w:right="1440"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273</w:t>
      </w:r>
    </w:p>
    <w:p>
      <w:pPr>
        <w:sectPr>
          <w:pgSz w:w="11900" w:h="16838" w:orient="portrait"/>
          <w:cols w:equalWidth="0" w:num="1">
            <w:col w:w="10139"/>
          </w:cols>
          <w:pgMar w:left="320" w:top="459" w:right="1440" w:bottom="1440" w:gutter="0" w:footer="0" w:header="0"/>
          <w:type w:val="continuous"/>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elected to furnish financial statements and related information specified in Item 18.</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pages F-1 through F-112 of this registration statement.</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480" w:right="719" w:hanging="5372"/>
        <w:spacing w:after="0" w:line="449" w:lineRule="auto"/>
        <w:rPr>
          <w:sz w:val="20"/>
          <w:szCs w:val="20"/>
          <w:color w:val="auto"/>
        </w:rPr>
      </w:pPr>
      <w:r>
        <w:rPr>
          <w:rFonts w:ascii="Arial" w:cs="Arial" w:eastAsia="Arial" w:hAnsi="Arial"/>
          <w:sz w:val="18"/>
          <w:szCs w:val="18"/>
          <w:color w:val="auto"/>
        </w:rPr>
        <w:t>The Exhibits listed in the Exhibit Index at the end of this registration statement are filed as Exhibits to this registration statement. 274</w:t>
      </w:r>
    </w:p>
    <w:p>
      <w:pPr>
        <w:sectPr>
          <w:pgSz w:w="11900" w:h="16838" w:orient="portrait"/>
          <w:cols w:equalWidth="0" w:num="1">
            <w:col w:w="10139"/>
          </w:cols>
          <w:pgMar w:left="320" w:top="459" w:right="1440"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EXHIBIT INDEX</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382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38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60" w:type="dxa"/>
            <w:vAlign w:val="bottom"/>
          </w:tcPr>
          <w:p>
            <w:pPr>
              <w:ind w:left="8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u w:val="single" w:color="auto"/>
                <w:color w:val="0000EE"/>
              </w:rPr>
            </w:pPr>
            <w:hyperlink r:id="rId359">
              <w:r>
                <w:rPr>
                  <w:rFonts w:ascii="Arial" w:cs="Arial" w:eastAsia="Arial" w:hAnsi="Arial"/>
                  <w:sz w:val="18"/>
                  <w:szCs w:val="18"/>
                  <w:u w:val="single" w:color="auto"/>
                  <w:color w:val="0000EE"/>
                </w:rPr>
                <w:t>Articles of Association of the Registrant</w:t>
              </w:r>
            </w:hyperlink>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ind w:left="8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u w:val="single" w:color="auto"/>
                <w:color w:val="0000EE"/>
              </w:rPr>
            </w:pPr>
            <w:hyperlink w:anchor="page396">
              <w:r>
                <w:rPr>
                  <w:rFonts w:ascii="Arial" w:cs="Arial" w:eastAsia="Arial" w:hAnsi="Arial"/>
                  <w:sz w:val="18"/>
                  <w:szCs w:val="18"/>
                  <w:u w:val="single" w:color="auto"/>
                  <w:color w:val="0000EE"/>
                </w:rPr>
                <w:t>Form of Deposit Agreement</w:t>
              </w:r>
            </w:hyperlink>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ind w:left="8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u w:val="single" w:color="auto"/>
                <w:color w:val="0000EE"/>
              </w:rPr>
            </w:pPr>
            <w:hyperlink w:anchor="page396">
              <w:r>
                <w:rPr>
                  <w:rFonts w:ascii="Arial" w:cs="Arial" w:eastAsia="Arial" w:hAnsi="Arial"/>
                  <w:sz w:val="18"/>
                  <w:szCs w:val="18"/>
                  <w:u w:val="single" w:color="auto"/>
                  <w:color w:val="0000EE"/>
                </w:rPr>
                <w:t>Form of American Depositary Receipt (included in Exhibit 4.1)</w:t>
              </w:r>
            </w:hyperlink>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Performance Share Plan</w:t>
              </w:r>
            </w:hyperlink>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1">
              <w:r>
                <w:rPr>
                  <w:rFonts w:ascii="Arial" w:cs="Arial" w:eastAsia="Arial" w:hAnsi="Arial"/>
                  <w:sz w:val="18"/>
                  <w:szCs w:val="18"/>
                  <w:u w:val="single" w:color="auto"/>
                  <w:color w:val="0000EE"/>
                </w:rPr>
                <w:t>Form of Incentive Stock Option Deed of Agreement under the Performance Share Plan</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Form of Nonstatutory Stock Option Deed of Agreement under the Performance Share Plan</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Form of Restricted Share Units Agreement under the Performance Share Plan</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Lease Agreement, dated as of August 10, 2018, by and between the Registrant and RBK 1 TENANT, LLC</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Deed of Indemnity between the Registrant and each of its directors and executive officers</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w w:val="98"/>
              </w:rPr>
            </w:pPr>
            <w:hyperlink r:id="rId366">
              <w:r>
                <w:rPr>
                  <w:rFonts w:ascii="Arial" w:cs="Arial" w:eastAsia="Arial" w:hAnsi="Arial"/>
                  <w:sz w:val="18"/>
                  <w:szCs w:val="18"/>
                  <w:u w:val="single" w:color="auto"/>
                  <w:color w:val="0000EE"/>
                  <w:w w:val="98"/>
                </w:rPr>
                <w:t>Asset Purchase Agreement, dated July 15, 2019, by and between Auspex Pharmaceuticals, Inc. and PureTech Health LLC</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367">
              <w:r>
                <w:rPr>
                  <w:rFonts w:ascii="Arial" w:cs="Arial" w:eastAsia="Arial" w:hAnsi="Arial"/>
                  <w:sz w:val="18"/>
                  <w:szCs w:val="18"/>
                  <w:u w:val="single" w:color="auto"/>
                  <w:color w:val="0000EE"/>
                </w:rPr>
                <w:t>Royalty Agreement, dated as of July 23, 2013, by and between PureTech Ventures LLC and Follica, Incorporated</w:t>
              </w:r>
            </w:hyperlink>
          </w:p>
        </w:tc>
        <w:tc>
          <w:tcPr>
            <w:tcW w:w="0" w:type="dxa"/>
            <w:vAlign w:val="bottom"/>
          </w:tcPr>
          <w:p>
            <w:pPr>
              <w:spacing w:after="0"/>
              <w:rPr>
                <w:sz w:val="1"/>
                <w:szCs w:val="1"/>
                <w:color w:val="auto"/>
              </w:rPr>
            </w:pP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89"/>
              </w:rPr>
            </w:pPr>
            <w:hyperlink r:id="rId368">
              <w:r>
                <w:rPr>
                  <w:rFonts w:ascii="Arial" w:cs="Arial" w:eastAsia="Arial" w:hAnsi="Arial"/>
                  <w:sz w:val="18"/>
                  <w:szCs w:val="18"/>
                  <w:color w:val="0000EE"/>
                  <w:w w:val="89"/>
                </w:rPr>
                <w:t>Royalty and Sublicense Income Agreement, dated as of December 18, 2009, as amended on June 28, 2012, by and between PureTech</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68">
              <w:r>
                <w:rPr>
                  <w:rFonts w:ascii="Arial" w:cs="Arial" w:eastAsia="Arial" w:hAnsi="Arial"/>
                  <w:sz w:val="18"/>
                  <w:szCs w:val="18"/>
                  <w:color w:val="0000EE"/>
                </w:rPr>
                <w:t>Ventures LLC, Gelesis, Inc. and Gelesis LP</w:t>
              </w:r>
            </w:hyperlink>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2"/>
              </w:rPr>
            </w:pPr>
            <w:hyperlink r:id="rId369">
              <w:r>
                <w:rPr>
                  <w:rFonts w:ascii="Arial" w:cs="Arial" w:eastAsia="Arial" w:hAnsi="Arial"/>
                  <w:sz w:val="18"/>
                  <w:szCs w:val="18"/>
                  <w:color w:val="0000EE"/>
                  <w:w w:val="92"/>
                </w:rPr>
                <w:t>Exclusive Patent License Agreement, dated as of March 4, 2011, as amended on February 1, 2013 and February 25, 2015, by and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369">
              <w:r>
                <w:rPr>
                  <w:rFonts w:ascii="Arial" w:cs="Arial" w:eastAsia="Arial" w:hAnsi="Arial"/>
                  <w:sz w:val="18"/>
                  <w:szCs w:val="18"/>
                  <w:color w:val="0000EE"/>
                  <w:w w:val="89"/>
                </w:rPr>
                <w:t>between PureTech Ventures LLC and Karuna Pharmaceuticals, Inc.</w:t>
              </w:r>
            </w:hyperlink>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w w:val="91"/>
              </w:rPr>
            </w:pPr>
            <w:hyperlink r:id="rId370">
              <w:r>
                <w:rPr>
                  <w:rFonts w:ascii="Arial" w:cs="Arial" w:eastAsia="Arial" w:hAnsi="Arial"/>
                  <w:sz w:val="18"/>
                  <w:szCs w:val="18"/>
                  <w:u w:val="single" w:color="auto"/>
                  <w:color w:val="0000EE"/>
                  <w:w w:val="91"/>
                </w:rPr>
                <w:t>Relationship Agreement, dated as of June 18, 2015, by and between PureTech Health PLC and Invesco Asset Management Limited</w:t>
              </w:r>
            </w:hyperlink>
          </w:p>
        </w:tc>
        <w:tc>
          <w:tcPr>
            <w:tcW w:w="0" w:type="dxa"/>
            <w:vAlign w:val="bottom"/>
          </w:tcPr>
          <w:p>
            <w:pPr>
              <w:spacing w:after="0"/>
              <w:rPr>
                <w:sz w:val="1"/>
                <w:szCs w:val="1"/>
                <w:color w:val="auto"/>
              </w:rPr>
            </w:pP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2"/>
              </w:rPr>
            </w:pPr>
            <w:hyperlink r:id="rId371">
              <w:r>
                <w:rPr>
                  <w:rFonts w:ascii="Arial" w:cs="Arial" w:eastAsia="Arial" w:hAnsi="Arial"/>
                  <w:sz w:val="18"/>
                  <w:szCs w:val="18"/>
                  <w:color w:val="0000EE"/>
                  <w:w w:val="92"/>
                </w:rPr>
                <w:t>Ninth Amended and Restated Registration Rights Agreement, dated December 5, 2019, between Gelesis, Inc. and the stockholders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71">
              <w:r>
                <w:rPr>
                  <w:rFonts w:ascii="Arial" w:cs="Arial" w:eastAsia="Arial" w:hAnsi="Arial"/>
                  <w:sz w:val="18"/>
                  <w:szCs w:val="18"/>
                  <w:color w:val="0000EE"/>
                </w:rPr>
                <w:t>party thereto</w:t>
              </w:r>
            </w:hyperlink>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color w:val="0000EE"/>
                <w:w w:val="90"/>
              </w:rPr>
            </w:pPr>
            <w:hyperlink r:id="rId372">
              <w:r>
                <w:rPr>
                  <w:rFonts w:ascii="Arial" w:cs="Arial" w:eastAsia="Arial" w:hAnsi="Arial"/>
                  <w:sz w:val="18"/>
                  <w:szCs w:val="18"/>
                  <w:color w:val="0000EE"/>
                  <w:w w:val="90"/>
                </w:rPr>
                <w:t>Ninth Amended and Restated Stockholders Agreement, dated December</w:t>
              </w:r>
            </w:hyperlink>
          </w:p>
        </w:tc>
        <w:tc>
          <w:tcPr>
            <w:tcW w:w="4380" w:type="dxa"/>
            <w:vAlign w:val="bottom"/>
            <w:gridSpan w:val="10"/>
          </w:tcPr>
          <w:p>
            <w:pPr>
              <w:ind w:left="20"/>
              <w:spacing w:after="0"/>
              <w:rPr>
                <w:rFonts w:ascii="Arial" w:cs="Arial" w:eastAsia="Arial" w:hAnsi="Arial"/>
                <w:sz w:val="18"/>
                <w:szCs w:val="18"/>
                <w:color w:val="0000EE"/>
                <w:w w:val="96"/>
              </w:rPr>
            </w:pPr>
            <w:hyperlink r:id="rId372">
              <w:r>
                <w:rPr>
                  <w:rFonts w:ascii="Arial" w:cs="Arial" w:eastAsia="Arial" w:hAnsi="Arial"/>
                  <w:sz w:val="18"/>
                  <w:szCs w:val="18"/>
                  <w:color w:val="0000EE"/>
                  <w:w w:val="96"/>
                </w:rPr>
                <w:t>5, 2019, between Gelesis, Inc. and the stockholders and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72">
              <w:r>
                <w:rPr>
                  <w:rFonts w:ascii="Arial" w:cs="Arial" w:eastAsia="Arial" w:hAnsi="Arial"/>
                  <w:sz w:val="18"/>
                  <w:szCs w:val="18"/>
                  <w:color w:val="0000EE"/>
                </w:rPr>
                <w:t>executives party thereto</w:t>
              </w:r>
            </w:hyperlink>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color w:val="0000EE"/>
                <w:w w:val="90"/>
              </w:rPr>
            </w:pPr>
            <w:hyperlink r:id="rId373">
              <w:r>
                <w:rPr>
                  <w:rFonts w:ascii="Arial" w:cs="Arial" w:eastAsia="Arial" w:hAnsi="Arial"/>
                  <w:sz w:val="18"/>
                  <w:szCs w:val="18"/>
                  <w:color w:val="0000EE"/>
                  <w:w w:val="90"/>
                </w:rPr>
                <w:t>Second Amended and Restated Investors’ Rights Agreement, dated May</w:t>
              </w:r>
            </w:hyperlink>
          </w:p>
        </w:tc>
        <w:tc>
          <w:tcPr>
            <w:tcW w:w="4380" w:type="dxa"/>
            <w:vAlign w:val="bottom"/>
            <w:gridSpan w:val="10"/>
          </w:tcPr>
          <w:p>
            <w:pPr>
              <w:ind w:left="20"/>
              <w:spacing w:after="0"/>
              <w:rPr>
                <w:rFonts w:ascii="Arial" w:cs="Arial" w:eastAsia="Arial" w:hAnsi="Arial"/>
                <w:sz w:val="18"/>
                <w:szCs w:val="18"/>
                <w:color w:val="0000EE"/>
              </w:rPr>
            </w:pPr>
            <w:hyperlink r:id="rId373">
              <w:r>
                <w:rPr>
                  <w:rFonts w:ascii="Arial" w:cs="Arial" w:eastAsia="Arial" w:hAnsi="Arial"/>
                  <w:sz w:val="18"/>
                  <w:szCs w:val="18"/>
                  <w:color w:val="0000EE"/>
                </w:rPr>
                <w:t>8, 2018, between Akili Interactive Labs, Inc. and the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373">
              <w:r>
                <w:rPr>
                  <w:rFonts w:ascii="Arial" w:cs="Arial" w:eastAsia="Arial" w:hAnsi="Arial"/>
                  <w:sz w:val="18"/>
                  <w:szCs w:val="18"/>
                  <w:color w:val="0000EE"/>
                  <w:w w:val="88"/>
                </w:rPr>
                <w:t>stockholders party thereto</w:t>
              </w:r>
            </w:hyperlink>
          </w:p>
        </w:tc>
        <w:tc>
          <w:tcPr>
            <w:tcW w:w="3420" w:type="dxa"/>
            <w:vAlign w:val="bottom"/>
            <w:tcBorders>
              <w:top w:val="single" w:sz="8" w:color="0000EE"/>
            </w:tcBorders>
            <w:gridSpan w:val="5"/>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c>
          <w:tcPr>
            <w:tcW w:w="5280" w:type="dxa"/>
            <w:vAlign w:val="bottom"/>
            <w:gridSpan w:val="9"/>
          </w:tcPr>
          <w:p>
            <w:pPr>
              <w:spacing w:after="0"/>
              <w:rPr>
                <w:rFonts w:ascii="Arial" w:cs="Arial" w:eastAsia="Arial" w:hAnsi="Arial"/>
                <w:sz w:val="18"/>
                <w:szCs w:val="18"/>
                <w:color w:val="0000EE"/>
                <w:w w:val="89"/>
              </w:rPr>
            </w:pPr>
            <w:hyperlink r:id="rId374">
              <w:r>
                <w:rPr>
                  <w:rFonts w:ascii="Arial" w:cs="Arial" w:eastAsia="Arial" w:hAnsi="Arial"/>
                  <w:sz w:val="18"/>
                  <w:szCs w:val="18"/>
                  <w:color w:val="0000EE"/>
                  <w:w w:val="89"/>
                </w:rPr>
                <w:t>Amended and Restated First Refusal and Co-Sale Agreement, dated May</w:t>
              </w:r>
            </w:hyperlink>
          </w:p>
        </w:tc>
        <w:tc>
          <w:tcPr>
            <w:tcW w:w="4380" w:type="dxa"/>
            <w:vAlign w:val="bottom"/>
            <w:gridSpan w:val="10"/>
          </w:tcPr>
          <w:p>
            <w:pPr>
              <w:ind w:left="60"/>
              <w:spacing w:after="0"/>
              <w:rPr>
                <w:rFonts w:ascii="Arial" w:cs="Arial" w:eastAsia="Arial" w:hAnsi="Arial"/>
                <w:sz w:val="18"/>
                <w:szCs w:val="18"/>
                <w:color w:val="0000EE"/>
              </w:rPr>
            </w:pPr>
            <w:hyperlink r:id="rId374">
              <w:r>
                <w:rPr>
                  <w:rFonts w:ascii="Arial" w:cs="Arial" w:eastAsia="Arial" w:hAnsi="Arial"/>
                  <w:sz w:val="18"/>
                  <w:szCs w:val="18"/>
                  <w:color w:val="0000EE"/>
                </w:rPr>
                <w:t>8, 2018, between Akili Interactive Labs, Inc. and the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74">
              <w:r>
                <w:rPr>
                  <w:rFonts w:ascii="Arial" w:cs="Arial" w:eastAsia="Arial" w:hAnsi="Arial"/>
                  <w:sz w:val="18"/>
                  <w:szCs w:val="18"/>
                  <w:color w:val="0000EE"/>
                  <w:w w:val="88"/>
                </w:rPr>
                <w:t>investors party thereto</w:t>
              </w:r>
            </w:hyperlink>
          </w:p>
        </w:tc>
        <w:tc>
          <w:tcPr>
            <w:tcW w:w="3680" w:type="dxa"/>
            <w:vAlign w:val="bottom"/>
            <w:tcBorders>
              <w:top w:val="single" w:sz="8" w:color="0000EE"/>
            </w:tcBorders>
            <w:gridSpan w:val="7"/>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Arial" w:cs="Arial" w:eastAsia="Arial" w:hAnsi="Arial"/>
                <w:sz w:val="18"/>
                <w:szCs w:val="18"/>
                <w:color w:val="0000EE"/>
                <w:w w:val="90"/>
              </w:rPr>
            </w:pPr>
            <w:hyperlink r:id="rId375">
              <w:r>
                <w:rPr>
                  <w:rFonts w:ascii="Arial" w:cs="Arial" w:eastAsia="Arial" w:hAnsi="Arial"/>
                  <w:sz w:val="18"/>
                  <w:szCs w:val="18"/>
                  <w:color w:val="0000EE"/>
                  <w:w w:val="90"/>
                </w:rPr>
                <w:t>Amended and Restated Investors’ Rights Agreement, dated December 21, 2018, as amended on April 19, 2019, May 3, 2019 and</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September 11, 2019 by and among Vedanta Biosciences, Inc. and the stockholders party thereto</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18"/>
                <w:szCs w:val="18"/>
                <w:color w:val="0000EE"/>
                <w:w w:val="90"/>
              </w:rPr>
            </w:pPr>
            <w:hyperlink r:id="rId376">
              <w:r>
                <w:rPr>
                  <w:rFonts w:ascii="Arial" w:cs="Arial" w:eastAsia="Arial" w:hAnsi="Arial"/>
                  <w:sz w:val="18"/>
                  <w:szCs w:val="18"/>
                  <w:color w:val="0000EE"/>
                  <w:w w:val="90"/>
                </w:rPr>
                <w:t>Fifth Amended and Restated Investors’ Rights Agreement, dated July 19, 2019, by and among Follica, Incorporated and the investors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80" w:type="dxa"/>
            <w:vAlign w:val="bottom"/>
            <w:gridSpan w:val="9"/>
          </w:tcPr>
          <w:p>
            <w:pPr>
              <w:spacing w:after="0" w:line="196" w:lineRule="exact"/>
              <w:rPr>
                <w:rFonts w:ascii="Arial" w:cs="Arial" w:eastAsia="Arial" w:hAnsi="Arial"/>
                <w:sz w:val="18"/>
                <w:szCs w:val="18"/>
                <w:color w:val="0000EE"/>
              </w:rPr>
            </w:pPr>
            <w:hyperlink r:id="rId376">
              <w:r>
                <w:rPr>
                  <w:rFonts w:ascii="Arial" w:cs="Arial" w:eastAsia="Arial" w:hAnsi="Arial"/>
                  <w:sz w:val="18"/>
                  <w:szCs w:val="18"/>
                  <w:color w:val="0000EE"/>
                </w:rPr>
                <w:t>party thereto</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62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0"/>
              </w:rPr>
            </w:pPr>
            <w:hyperlink r:id="rId377">
              <w:r>
                <w:rPr>
                  <w:rFonts w:ascii="Arial" w:cs="Arial" w:eastAsia="Arial" w:hAnsi="Arial"/>
                  <w:sz w:val="18"/>
                  <w:szCs w:val="18"/>
                  <w:color w:val="0000EE"/>
                  <w:w w:val="90"/>
                </w:rPr>
                <w:t>Fifth Amended and Restated Right of First Refusal and Co-Sale Agreement, dated July 19, 2019, by and among Follica, Incorporated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377">
              <w:r>
                <w:rPr>
                  <w:rFonts w:ascii="Arial" w:cs="Arial" w:eastAsia="Arial" w:hAnsi="Arial"/>
                  <w:sz w:val="18"/>
                  <w:szCs w:val="18"/>
                  <w:color w:val="0000EE"/>
                  <w:w w:val="89"/>
                </w:rPr>
                <w:t>and the investors and key holders party thereto</w:t>
              </w:r>
            </w:hyperlink>
          </w:p>
        </w:tc>
        <w:tc>
          <w:tcPr>
            <w:tcW w:w="1920" w:type="dxa"/>
            <w:vAlign w:val="bottom"/>
            <w:tcBorders>
              <w:top w:val="single" w:sz="8" w:color="0000EE"/>
            </w:tcBorders>
            <w:gridSpan w:val="3"/>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w w:val="90"/>
              </w:rPr>
            </w:pPr>
            <w:hyperlink r:id="rId378">
              <w:r>
                <w:rPr>
                  <w:rFonts w:ascii="Arial" w:cs="Arial" w:eastAsia="Arial" w:hAnsi="Arial"/>
                  <w:sz w:val="18"/>
                  <w:szCs w:val="18"/>
                  <w:u w:val="single" w:color="auto"/>
                  <w:color w:val="0000EE"/>
                  <w:w w:val="90"/>
                </w:rPr>
                <w:t>Fifth Amended and Restated Voting Agreement, dated July 19, 2019, between Follica, Incorporated and the stockholders party thereto</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u w:val="single" w:color="auto"/>
                <w:color w:val="0000EE"/>
                <w:w w:val="93"/>
              </w:rPr>
            </w:pPr>
            <w:hyperlink r:id="rId379">
              <w:r>
                <w:rPr>
                  <w:rFonts w:ascii="Arial" w:cs="Arial" w:eastAsia="Arial" w:hAnsi="Arial"/>
                  <w:sz w:val="18"/>
                  <w:szCs w:val="18"/>
                  <w:u w:val="single" w:color="auto"/>
                  <w:color w:val="0000EE"/>
                  <w:w w:val="93"/>
                </w:rPr>
                <w:t>Amended and Restated Voting Agreement, dated June 30, 2020, between Vor Biopharma Inc. and the stockholders party thereto</w:t>
              </w:r>
            </w:hyperlink>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5400" w:type="dxa"/>
            <w:vAlign w:val="bottom"/>
            <w:gridSpan w:val="9"/>
          </w:tcPr>
          <w:p>
            <w:pPr>
              <w:jc w:val="right"/>
              <w:ind w:right="348"/>
              <w:spacing w:after="0"/>
              <w:rPr>
                <w:sz w:val="20"/>
                <w:szCs w:val="20"/>
                <w:color w:val="auto"/>
              </w:rPr>
            </w:pPr>
            <w:r>
              <w:rPr>
                <w:rFonts w:ascii="Arial" w:cs="Arial" w:eastAsia="Arial" w:hAnsi="Arial"/>
                <w:sz w:val="18"/>
                <w:szCs w:val="18"/>
                <w:color w:val="auto"/>
              </w:rPr>
              <w:t>275</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388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Borders>
              <w:bottom w:val="single" w:sz="8" w:color="auto"/>
            </w:tcBorders>
            <w:gridSpan w:val="2"/>
            <w:vMerge w:val="continue"/>
          </w:tcPr>
          <w:p>
            <w:pPr>
              <w:spacing w:after="0"/>
              <w:rPr>
                <w:sz w:val="14"/>
                <w:szCs w:val="14"/>
                <w:color w:val="auto"/>
              </w:rPr>
            </w:pPr>
          </w:p>
        </w:tc>
        <w:tc>
          <w:tcPr>
            <w:tcW w:w="38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720" w:type="dxa"/>
            <w:vAlign w:val="bottom"/>
            <w:tcBorders>
              <w:bottom w:val="single" w:sz="8" w:color="0000EE"/>
            </w:tcBorders>
            <w:gridSpan w:val="11"/>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Amended and Restated Investors’ Rights Agreement, dated June 30, 2020, by and between Vor Biopharma Inc. and the investors party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381">
              <w:r>
                <w:rPr>
                  <w:rFonts w:ascii="Arial" w:cs="Arial" w:eastAsia="Arial" w:hAnsi="Arial"/>
                  <w:sz w:val="18"/>
                  <w:szCs w:val="18"/>
                  <w:color w:val="0000EE"/>
                  <w:w w:val="85"/>
                </w:rPr>
                <w:t>thereto</w:t>
              </w:r>
            </w:hyperlink>
          </w:p>
        </w:tc>
        <w:tc>
          <w:tcPr>
            <w:tcW w:w="9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color w:val="0000EE"/>
                <w:w w:val="91"/>
              </w:rPr>
            </w:pPr>
            <w:hyperlink r:id="rId382">
              <w:r>
                <w:rPr>
                  <w:rFonts w:ascii="Arial" w:cs="Arial" w:eastAsia="Arial" w:hAnsi="Arial"/>
                  <w:sz w:val="18"/>
                  <w:szCs w:val="18"/>
                  <w:color w:val="0000EE"/>
                  <w:w w:val="91"/>
                </w:rPr>
                <w:t>Amended and Restated Right of First Refusal and Co-Sale Agreement, dated June 30, 2020, by and between Vor Biopharma Inc. and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82">
              <w:r>
                <w:rPr>
                  <w:rFonts w:ascii="Arial" w:cs="Arial" w:eastAsia="Arial" w:hAnsi="Arial"/>
                  <w:sz w:val="18"/>
                  <w:szCs w:val="18"/>
                  <w:color w:val="0000EE"/>
                </w:rPr>
                <w:t>the investors and key holders party thereto</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Voting Agreement, dated April 9, 2019, between Sonde Health, Inc. and the stockholders party thereto</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Investors’ Rights Agreement, dated April 9, 2019, by and between Sonde Health, Inc. and the investors party thereto</w:t>
              </w:r>
            </w:hyperlink>
          </w:p>
        </w:tc>
        <w:tc>
          <w:tcPr>
            <w:tcW w:w="0" w:type="dxa"/>
            <w:vAlign w:val="bottom"/>
          </w:tcPr>
          <w:p>
            <w:pPr>
              <w:spacing w:after="0"/>
              <w:rPr>
                <w:sz w:val="1"/>
                <w:szCs w:val="1"/>
                <w:color w:val="auto"/>
              </w:rPr>
            </w:pP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color w:val="0000EE"/>
                <w:w w:val="94"/>
              </w:rPr>
            </w:pPr>
            <w:hyperlink r:id="rId385">
              <w:r>
                <w:rPr>
                  <w:rFonts w:ascii="Arial" w:cs="Arial" w:eastAsia="Arial" w:hAnsi="Arial"/>
                  <w:sz w:val="18"/>
                  <w:szCs w:val="18"/>
                  <w:color w:val="0000EE"/>
                  <w:w w:val="94"/>
                </w:rPr>
                <w:t>Right of First Refusal and Co-Sale Agreement, dated April 9, 2019, by and between Sonde Health, Inc. and the investors and key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85">
              <w:r>
                <w:rPr>
                  <w:rFonts w:ascii="Arial" w:cs="Arial" w:eastAsia="Arial" w:hAnsi="Arial"/>
                  <w:sz w:val="18"/>
                  <w:szCs w:val="18"/>
                  <w:color w:val="0000EE"/>
                  <w:w w:val="88"/>
                </w:rPr>
                <w:t>holders party thereto</w:t>
              </w:r>
            </w:hyperlink>
          </w:p>
        </w:tc>
        <w:tc>
          <w:tcPr>
            <w:tcW w:w="7860" w:type="dxa"/>
            <w:vAlign w:val="bottom"/>
            <w:tcBorders>
              <w:top w:val="single" w:sz="8" w:color="0000EE"/>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Voting Agreement, dated December 18, 2017, between Entrega, Inc. and the stockholders party thereto</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Investors’ Rights Agreement, dated December 18, 2017, by and between Entrega, Inc. and the investors party thereto</w:t>
              </w:r>
            </w:hyperlink>
          </w:p>
        </w:tc>
        <w:tc>
          <w:tcPr>
            <w:tcW w:w="0" w:type="dxa"/>
            <w:vAlign w:val="bottom"/>
          </w:tcPr>
          <w:p>
            <w:pPr>
              <w:spacing w:after="0"/>
              <w:rPr>
                <w:sz w:val="1"/>
                <w:szCs w:val="1"/>
                <w:color w:val="auto"/>
              </w:rPr>
            </w:pP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c>
          <w:tcPr>
            <w:tcW w:w="9380" w:type="dxa"/>
            <w:vAlign w:val="bottom"/>
            <w:tcBorders>
              <w:bottom w:val="single" w:sz="8" w:color="0000EE"/>
            </w:tcBorders>
            <w:gridSpan w:val="8"/>
          </w:tcPr>
          <w:p>
            <w:pPr>
              <w:spacing w:after="0"/>
              <w:rPr>
                <w:rFonts w:ascii="Arial" w:cs="Arial" w:eastAsia="Arial" w:hAnsi="Arial"/>
                <w:sz w:val="18"/>
                <w:szCs w:val="18"/>
                <w:color w:val="0000EE"/>
                <w:w w:val="90"/>
              </w:rPr>
            </w:pPr>
            <w:hyperlink r:id="rId388">
              <w:r>
                <w:rPr>
                  <w:rFonts w:ascii="Arial" w:cs="Arial" w:eastAsia="Arial" w:hAnsi="Arial"/>
                  <w:sz w:val="18"/>
                  <w:szCs w:val="18"/>
                  <w:color w:val="0000EE"/>
                  <w:w w:val="90"/>
                </w:rPr>
                <w:t>Right of First Refusal and Co-Sale Agreement, dated December 18, 2017, by and between Entrega, Inc. and the investors and key</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388">
              <w:r>
                <w:rPr>
                  <w:rFonts w:ascii="Arial" w:cs="Arial" w:eastAsia="Arial" w:hAnsi="Arial"/>
                  <w:sz w:val="18"/>
                  <w:szCs w:val="18"/>
                  <w:color w:val="0000EE"/>
                  <w:w w:val="88"/>
                </w:rPr>
                <w:t>holders party thereto</w:t>
              </w:r>
            </w:hyperlink>
          </w:p>
        </w:tc>
        <w:tc>
          <w:tcPr>
            <w:tcW w:w="8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color w:val="0000EE"/>
                <w:w w:val="91"/>
              </w:rPr>
            </w:pPr>
            <w:hyperlink r:id="rId389">
              <w:r>
                <w:rPr>
                  <w:rFonts w:ascii="Arial" w:cs="Arial" w:eastAsia="Arial" w:hAnsi="Arial"/>
                  <w:sz w:val="18"/>
                  <w:szCs w:val="18"/>
                  <w:color w:val="0000EE"/>
                  <w:w w:val="91"/>
                </w:rPr>
                <w:t>Research and License Agreement, dated March 6, 2017, as amended on April 23, 2018, August 6, 2018, May 31, 2019, and July 22,</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389">
              <w:r>
                <w:rPr>
                  <w:rFonts w:ascii="Arial" w:cs="Arial" w:eastAsia="Arial" w:hAnsi="Arial"/>
                  <w:sz w:val="18"/>
                  <w:szCs w:val="18"/>
                  <w:color w:val="0000EE"/>
                  <w:w w:val="90"/>
                </w:rPr>
                <w:t>2020 between PureTech LYT, Inc. and New York University</w:t>
              </w:r>
            </w:hyperlink>
          </w:p>
        </w:tc>
        <w:tc>
          <w:tcPr>
            <w:tcW w:w="5200" w:type="dxa"/>
            <w:vAlign w:val="bottom"/>
            <w:tcBorders>
              <w:top w:val="single" w:sz="8" w:color="0000EE"/>
            </w:tcBorders>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9720" w:type="dxa"/>
            <w:vAlign w:val="bottom"/>
            <w:gridSpan w:val="11"/>
          </w:tcPr>
          <w:p>
            <w:pPr>
              <w:spacing w:after="0"/>
              <w:rPr>
                <w:rFonts w:ascii="Arial" w:cs="Arial" w:eastAsia="Arial" w:hAnsi="Arial"/>
                <w:sz w:val="18"/>
                <w:szCs w:val="18"/>
                <w:u w:val="single" w:color="auto"/>
                <w:color w:val="0000EE"/>
              </w:rPr>
            </w:pPr>
            <w:hyperlink w:anchor="page476">
              <w:r>
                <w:rPr>
                  <w:rFonts w:ascii="Arial" w:cs="Arial" w:eastAsia="Arial" w:hAnsi="Arial"/>
                  <w:sz w:val="18"/>
                  <w:szCs w:val="18"/>
                  <w:u w:val="single" w:color="auto"/>
                  <w:color w:val="0000EE"/>
                </w:rPr>
                <w:t>Consent of KPMG LLP, independent registered public accounting firm</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154"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276</w:t>
      </w:r>
    </w:p>
    <w:p>
      <w:pPr>
        <w:sectPr>
          <w:pgSz w:w="11900" w:h="16838" w:orient="portrait"/>
          <w:cols w:equalWidth="0" w:num="1">
            <w:col w:w="11060"/>
          </w:cols>
          <w:pgMar w:left="320" w:top="459" w:right="5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9, 2020</w:t>
      </w:r>
    </w:p>
    <w:p>
      <w:pPr>
        <w:spacing w:after="0" w:line="248"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PURETECH HEALTH PLC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0360"/>
          </w:cols>
          <w:pgMar w:left="320" w:top="459" w:right="12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04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2019, 2018 and 2017</w:t>
            </w: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400" w:type="dxa"/>
            <w:vAlign w:val="bottom"/>
            <w:gridSpan w:val="6"/>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84">
              <w:r>
                <w:rPr>
                  <w:rFonts w:ascii="Arial" w:cs="Arial" w:eastAsia="Arial" w:hAnsi="Arial"/>
                  <w:sz w:val="18"/>
                  <w:szCs w:val="18"/>
                  <w:u w:val="single" w:color="auto"/>
                  <w:color w:val="0000EE"/>
                </w:rPr>
                <w:t>Report of KPMG LLP,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Consolidated Statements of Comprehensive Income/(Loss) for the Years Ended December 31, 2019, 2018 and 2017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86">
              <w:r>
                <w:rPr>
                  <w:rFonts w:ascii="Arial" w:cs="Arial" w:eastAsia="Arial" w:hAnsi="Arial"/>
                  <w:sz w:val="18"/>
                  <w:szCs w:val="18"/>
                  <w:u w:val="single" w:color="auto"/>
                  <w:color w:val="0000EE"/>
                </w:rPr>
                <w:t>Consolidated Statements of Financial Position as of December 31, 2019 and 2018</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Consolidated Statements of Changes in Equity for the Years Ended December 31, 2019, 2018 and 2017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Consolidated Statements of Cash Flows for the Years Ended December 31, 2019, 2018 and 2017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Notes to the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32"/>
        </w:trPr>
        <w:tc>
          <w:tcPr>
            <w:tcW w:w="10400" w:type="dxa"/>
            <w:vAlign w:val="bottom"/>
            <w:gridSpan w:val="6"/>
          </w:tcPr>
          <w:p>
            <w:pPr>
              <w:spacing w:after="0"/>
              <w:rPr>
                <w:sz w:val="20"/>
                <w:szCs w:val="20"/>
                <w:color w:val="auto"/>
              </w:rPr>
            </w:pPr>
            <w:r>
              <w:rPr>
                <w:rFonts w:ascii="Arial" w:cs="Arial" w:eastAsia="Arial" w:hAnsi="Arial"/>
                <w:sz w:val="18"/>
                <w:szCs w:val="18"/>
                <w:b w:val="1"/>
                <w:bCs w:val="1"/>
                <w:color w:val="auto"/>
              </w:rPr>
              <w:t>Interim Financial Statements as of and for the Six Months Ended June 30, 2020 and 2019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00" w:type="dxa"/>
            <w:vAlign w:val="bottom"/>
            <w:gridSpan w:val="6"/>
          </w:tcPr>
          <w:p>
            <w:pPr>
              <w:spacing w:after="0"/>
              <w:rPr>
                <w:rFonts w:ascii="Arial" w:cs="Arial" w:eastAsia="Arial" w:hAnsi="Arial"/>
                <w:sz w:val="18"/>
                <w:szCs w:val="18"/>
                <w:color w:val="0000EE"/>
                <w:w w:val="91"/>
              </w:rPr>
            </w:pPr>
            <w:hyperlink w:anchor="page360">
              <w:r>
                <w:rPr>
                  <w:rFonts w:ascii="Arial" w:cs="Arial" w:eastAsia="Arial" w:hAnsi="Arial"/>
                  <w:sz w:val="18"/>
                  <w:szCs w:val="18"/>
                  <w:color w:val="0000EE"/>
                  <w:w w:val="91"/>
                </w:rPr>
                <w:t>Unaudited Condensed Consolidated Statements of Income/(Loss) and Other Comprehensive Income/(Loss) for the Six Months Ended June 30,</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60">
              <w:r>
                <w:rPr>
                  <w:rFonts w:ascii="Arial" w:cs="Arial" w:eastAsia="Arial" w:hAnsi="Arial"/>
                  <w:sz w:val="18"/>
                  <w:szCs w:val="18"/>
                  <w:color w:val="0000EE"/>
                </w:rPr>
                <w:t>2020 and 2019</w:t>
              </w:r>
            </w:hyperlink>
          </w:p>
        </w:tc>
        <w:tc>
          <w:tcPr>
            <w:tcW w:w="1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61">
              <w:r>
                <w:rPr>
                  <w:rFonts w:ascii="Arial" w:cs="Arial" w:eastAsia="Arial" w:hAnsi="Arial"/>
                  <w:sz w:val="18"/>
                  <w:szCs w:val="18"/>
                  <w:color w:val="0000EE"/>
                  <w:w w:val="89"/>
                </w:rPr>
                <w:t>Unaudited Condensed Consolidated Statement of Financial Position as of June 30, 2020 and Condensed Consolidated Statement of Financial</w:t>
              </w:r>
            </w:hyperlink>
          </w:p>
        </w:tc>
        <w:tc>
          <w:tcPr>
            <w:tcW w:w="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61">
              <w:r>
                <w:rPr>
                  <w:rFonts w:ascii="Arial" w:cs="Arial" w:eastAsia="Arial" w:hAnsi="Arial"/>
                  <w:sz w:val="18"/>
                  <w:szCs w:val="18"/>
                  <w:color w:val="0000EE"/>
                  <w:w w:val="89"/>
                </w:rPr>
                <w:t>Position as of December 31, 2019</w:t>
              </w:r>
            </w:hyperlink>
          </w:p>
        </w:tc>
        <w:tc>
          <w:tcPr>
            <w:tcW w:w="77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345"/>
        </w:trPr>
        <w:tc>
          <w:tcPr>
            <w:tcW w:w="10400" w:type="dxa"/>
            <w:vAlign w:val="bottom"/>
            <w:gridSpan w:val="6"/>
          </w:tcPr>
          <w:p>
            <w:pPr>
              <w:spacing w:after="0"/>
              <w:rPr>
                <w:rFonts w:ascii="Arial" w:cs="Arial" w:eastAsia="Arial" w:hAnsi="Arial"/>
                <w:sz w:val="18"/>
                <w:szCs w:val="18"/>
                <w:u w:val="single" w:color="auto"/>
                <w:color w:val="0000EE"/>
              </w:rPr>
            </w:pPr>
            <w:hyperlink w:anchor="page362">
              <w:r>
                <w:rPr>
                  <w:rFonts w:ascii="Arial" w:cs="Arial" w:eastAsia="Arial" w:hAnsi="Arial"/>
                  <w:sz w:val="18"/>
                  <w:szCs w:val="18"/>
                  <w:u w:val="single" w:color="auto"/>
                  <w:color w:val="0000EE"/>
                </w:rPr>
                <w:t>Unaudited Condensed Consolidated Statements of Changes in Equity for the Six Months Ended June 30, 2020 and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F-80</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363">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F-81</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u w:val="single" w:color="auto"/>
                <w:color w:val="0000EE"/>
              </w:rPr>
            </w:pPr>
            <w:hyperlink w:anchor="page364">
              <w:r>
                <w:rPr>
                  <w:rFonts w:ascii="Arial" w:cs="Arial" w:eastAsia="Arial" w:hAnsi="Arial"/>
                  <w:sz w:val="18"/>
                  <w:szCs w:val="18"/>
                  <w:u w:val="single" w:color="auto"/>
                  <w:color w:val="0000EE"/>
                </w:rPr>
                <w:t>Notes to the Unaudited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F-82</w:t>
            </w:r>
          </w:p>
        </w:tc>
        <w:tc>
          <w:tcPr>
            <w:tcW w:w="0" w:type="dxa"/>
            <w:vAlign w:val="bottom"/>
          </w:tcPr>
          <w:p>
            <w:pPr>
              <w:spacing w:after="0"/>
              <w:rPr>
                <w:sz w:val="1"/>
                <w:szCs w:val="1"/>
                <w:color w:val="auto"/>
              </w:rPr>
            </w:pPr>
          </w:p>
        </w:tc>
      </w:tr>
      <w:tr>
        <w:trPr>
          <w:trHeight w:val="324"/>
        </w:trPr>
        <w:tc>
          <w:tcPr>
            <w:tcW w:w="10400" w:type="dxa"/>
            <w:vAlign w:val="bottom"/>
            <w:gridSpan w:val="6"/>
          </w:tcPr>
          <w:p>
            <w:pPr>
              <w:spacing w:after="0"/>
              <w:rPr>
                <w:rFonts w:ascii="Arial" w:cs="Arial" w:eastAsia="Arial" w:hAnsi="Arial"/>
                <w:sz w:val="18"/>
                <w:szCs w:val="18"/>
                <w:b w:val="1"/>
                <w:bCs w:val="1"/>
                <w:u w:val="single" w:color="auto"/>
                <w:color w:val="0000EE"/>
              </w:rPr>
            </w:pPr>
            <w:hyperlink w:anchor="page391">
              <w:r>
                <w:rPr>
                  <w:rFonts w:ascii="Arial" w:cs="Arial" w:eastAsia="Arial" w:hAnsi="Arial"/>
                  <w:sz w:val="18"/>
                  <w:szCs w:val="18"/>
                  <w:b w:val="1"/>
                  <w:bCs w:val="1"/>
                  <w:u w:val="single" w:color="auto"/>
                  <w:color w:val="0000EE"/>
                </w:rPr>
                <w:t>Unaudited Pro Forma Consolidated Financial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F-109</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780" w:type="dxa"/>
            <w:vAlign w:val="bottom"/>
            <w:gridSpan w:val="3"/>
          </w:tcPr>
          <w:p>
            <w:pPr>
              <w:ind w:left="276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 of PureTech Health plc: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PureTech Health plc and subsidiaries (the “Group”) as of December 31, 2019 and 2018, the related consolidated statements of comprehensive income/(loss), changes in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Group as of December 31, 2019 and 2018, and the results of its operations and its cash flows for each of the years in the three-year period ended December 31, 2019, in conformity with International Financial Reporting Standards as issued by the International Accounting Standards Board.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Group’s auditor since 2015.</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KPMG 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United Kingdom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 September 2020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71"/>
        </w:trPr>
        <w:tc>
          <w:tcPr>
            <w:tcW w:w="74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auto"/>
              </w:rPr>
              <w:t>Note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$000s</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$000s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$000s</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8,688</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Grant revenue</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9,807</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20,748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(59,358)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(47,365)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(46,283)</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(85,848)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(77,402)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(71,672)</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(135,399)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(115,420)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 income/(expense):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deconsolidation</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264,409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41,730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85,016</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Gain/(loss) on investments held at fair value</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(37,863)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(34,615)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57,334</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impairment of intangible asset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Gain/(loss) on disposal of assets</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4,060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loss of significant influence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445,582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672,167</w:t>
            </w: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142,364</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Finance income/(costs):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4,362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Finance income/(costs)—subsidiary preferred shares</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(9,509)</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income/(costs)—contractual</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(2,576)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Finance income/(costs)—fair value accounting</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(46,475)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22,631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(71,735)</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income/(costs)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(46,147)</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25,917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Share of net gain/(loss) of associates accounted for using the equity method</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30,791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(11,490)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(17,608)</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investment in associate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(42,938)</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Income/(loss) before taxes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478,474</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(68,438)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(70,711)</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(112,409)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(4,383)</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Income/(Loss) for the year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366,065</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(70,659)</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(75,094)</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i w:val="1"/>
                <w:iCs w:val="1"/>
                <w:color w:val="auto"/>
              </w:rPr>
              <w:t>Items that are or may be reclassified as profit or loss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Unrealized gain/(loss) on investments held at fair value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w:t>
            </w: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comprehensive income/(loss) for the year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366,055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(70,899)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(72,936)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attributable to:</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421,144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(43,654)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26,472</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(55,079)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(101,566)</w:t>
            </w:r>
          </w:p>
        </w:tc>
      </w:tr>
      <w:tr>
        <w:trPr>
          <w:trHeight w:val="230"/>
        </w:trPr>
        <w:tc>
          <w:tcPr>
            <w:tcW w:w="7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366,065</w:t>
            </w: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(70,659)</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(75,094)</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income/(loss) attributable to:</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421,134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(43,894)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28,630</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(55,079)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(101,566)</w:t>
            </w:r>
          </w:p>
        </w:tc>
      </w:tr>
      <w:tr>
        <w:trPr>
          <w:trHeight w:val="230"/>
        </w:trPr>
        <w:tc>
          <w:tcPr>
            <w:tcW w:w="7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366,055</w:t>
            </w: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(70,899)</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(72,936)</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Basic earnings/(loss) per share</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earnings/(loss) per share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r>
      <w:tr>
        <w:trPr>
          <w:trHeight w:val="20"/>
        </w:trPr>
        <w:tc>
          <w:tcPr>
            <w:tcW w:w="7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of December 31,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r>
      <w:tr>
        <w:trPr>
          <w:trHeight w:val="171"/>
        </w:trPr>
        <w:tc>
          <w:tcPr>
            <w:tcW w:w="85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Note</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$000s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$000s</w:t>
            </w: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21,455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8,323</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Right of use asset, net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22,383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Investments held at fair value</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714,905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169,755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associates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10,642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Lease receivable—long-term</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2,082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772,333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181,977</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1,946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5,380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 receivable—short-term</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financial assets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13, 22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30,088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133,828</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132,360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117,051</w:t>
            </w: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168,845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259,786</w:t>
            </w:r>
          </w:p>
        </w:tc>
      </w:tr>
      <w:tr>
        <w:trPr>
          <w:trHeight w:val="230"/>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941,178</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441,763</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5,408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Share premium</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287,962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278,385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Merger reserve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138,506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138,506</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Translation reserve</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reserve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(18,282)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20,923</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254,444</w:t>
            </w: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(167,692)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the owners of the Company</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668,038</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275,507</w:t>
            </w:r>
          </w:p>
        </w:tc>
        <w:tc>
          <w:tcPr>
            <w:tcW w:w="120" w:type="dxa"/>
            <w:vAlign w:val="bottom"/>
            <w:shd w:val="clear" w:color="auto" w:fill="CCEEFF"/>
          </w:tcPr>
          <w:p>
            <w:pPr>
              <w:spacing w:after="0"/>
              <w:rPr>
                <w:sz w:val="18"/>
                <w:szCs w:val="18"/>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14, 18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(17,640)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(108,535)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650,398</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166,972</w:t>
            </w: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1,220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115,445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6,428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34,914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151,579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9,027</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5,474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15,875</w:t>
            </w:r>
          </w:p>
        </w:tc>
      </w:tr>
      <w:tr>
        <w:trPr>
          <w:trHeight w:val="283"/>
        </w:trPr>
        <w:tc>
          <w:tcPr>
            <w:tcW w:w="858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16, 17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Warrant liability</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7,997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13,012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15, 16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100,989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217,519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139,201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265,764</w:t>
            </w:r>
          </w:p>
        </w:tc>
      </w:tr>
      <w:tr>
        <w:trPr>
          <w:trHeight w:val="230"/>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290,780</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274,791</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941,178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441,763</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color w:val="auto"/>
              </w:rPr>
              <w:t>Share Capital</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Retained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earnings/</w:t>
            </w: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Total</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Non-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Share</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Merger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Translation</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(accumulated</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rPr>
              <w:t>Amount</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premium</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reserve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reserve</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reserve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deficit)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equity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interests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$000s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$000s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$000s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$000s</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$000s</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2017</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237,387,951</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4,609</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181,658</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138,506</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13,412</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(160,335)</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177,666</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(85,255)</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92,411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income/(loss)</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26,472</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26,472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(101,566)</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(75,094)</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408</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408</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55"/>
        </w:trPr>
        <w:tc>
          <w:tcPr>
            <w:tcW w:w="3280" w:type="dxa"/>
            <w:vAlign w:val="bottom"/>
          </w:tcPr>
          <w:p>
            <w:pPr>
              <w:spacing w:after="0" w:line="149" w:lineRule="exact"/>
              <w:rPr>
                <w:sz w:val="20"/>
                <w:szCs w:val="20"/>
                <w:color w:val="auto"/>
              </w:rPr>
            </w:pPr>
            <w:r>
              <w:rPr>
                <w:rFonts w:ascii="Arial" w:cs="Arial" w:eastAsia="Arial" w:hAnsi="Arial"/>
                <w:sz w:val="14"/>
                <w:szCs w:val="14"/>
                <w:color w:val="auto"/>
              </w:rPr>
              <w:t>Unrealized gain on investments</w:t>
            </w: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1,750</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1,750</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comprehensive income/(loss) for the period</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408</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28,222</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28,630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(101,566)</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(72,936)</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Gain/(loss) arising from change in non-controlling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28,449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28,433</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share-based awards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41,745</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Subsidiary dividends</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Buyback of shares, net of tax</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payments</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3,782</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3,782</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8,067</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11,849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237,429,696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4,679</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181,588</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224</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17,178</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(132,270)</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209,905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(150,305)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59,600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Adjustment for the initial application of IFRS 9</w:t>
            </w:r>
          </w:p>
        </w:tc>
        <w:tc>
          <w:tcPr>
            <w:tcW w:w="7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7,525</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7,525</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4,719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12,244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balance as of January 1, 2018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237,429,696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4,679</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181,588</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224</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17,178</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(124,745)</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217,430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(145,586)</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71,844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income/(loss)</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(43,654)</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(43,654)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(27,005)</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(70,659)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Unrealized gain/(loss) on investments</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Total comprehensive income/(loss) for the period</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(214)</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(43,680)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(43,894)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(27,005)</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(70,899)</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Deconsolidation of subsidiary</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619</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55,168</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55,783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placing shares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45,000,000</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696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96,797</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97,493</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97,493</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Exercise of share-based awards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64,171</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Subsidiary dividends to non-controlling interests</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payments</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3,749</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3,749</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8,888</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at December 31, 2018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282,493,867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5,375</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278,385</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20,923</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(167,692)</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275,507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(108,535)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166,972</w:t>
            </w:r>
          </w:p>
        </w:tc>
        <w:tc>
          <w:tcPr>
            <w:tcW w:w="0" w:type="dxa"/>
            <w:vAlign w:val="bottom"/>
          </w:tcPr>
          <w:p>
            <w:pPr>
              <w:spacing w:after="0"/>
              <w:rPr>
                <w:sz w:val="1"/>
                <w:szCs w:val="1"/>
                <w:color w:val="auto"/>
              </w:rPr>
            </w:pPr>
          </w:p>
        </w:tc>
      </w:tr>
      <w:tr>
        <w:trPr>
          <w:trHeight w:val="155"/>
        </w:trPr>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Adjustment for the initial application of IFRS16</w:t>
            </w: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4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999</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999</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balance as of January 1, 2019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282,493,867</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5,375</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278,385</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20,923</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(166,693)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276,506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(108,535)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167,971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income/(loss)</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421,144</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421,144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(55,079)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366,065</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w w:val="99"/>
              </w:rPr>
              <w:t>Total comprehensive income/(loss) for the period</w:t>
            </w:r>
          </w:p>
        </w:tc>
        <w:tc>
          <w:tcPr>
            <w:tcW w:w="78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48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421,144</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421,134</w:t>
            </w: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(55,079)</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366,055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subsidiaries</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97,178</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97,178</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Subsidiary note conversion and changes in NCI</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140"/>
              <w:spacing w:after="0"/>
              <w:rPr>
                <w:sz w:val="20"/>
                <w:szCs w:val="20"/>
                <w:color w:val="auto"/>
              </w:rPr>
            </w:pPr>
            <w:r>
              <w:rPr>
                <w:rFonts w:ascii="Arial" w:cs="Arial" w:eastAsia="Arial" w:hAnsi="Arial"/>
                <w:sz w:val="14"/>
                <w:szCs w:val="14"/>
                <w:color w:val="auto"/>
              </w:rPr>
              <w:t>ownership interest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(20,631)</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(20,631)</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23,049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2,418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color w:val="auto"/>
              </w:rPr>
              <w:t>Share Capital</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Retained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4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earnings/</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Total</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Non-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Merger</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Translation</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(accumulated</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Parent</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Amount</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premium</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reserve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reserve</w:t>
            </w: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reserve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deficit)</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equity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interests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$000s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$000s</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$000s</w:t>
            </w:r>
          </w:p>
        </w:tc>
        <w:tc>
          <w:tcPr>
            <w:tcW w:w="1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$000s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$000s</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$000s</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Exercise of share-based awards</w:t>
            </w:r>
          </w:p>
        </w:tc>
        <w:tc>
          <w:tcPr>
            <w:tcW w:w="76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w w:val="86"/>
              </w:rPr>
              <w:t>237,090</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w w:val="85"/>
              </w:rPr>
              <w:t>499</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tcPr>
          <w:p>
            <w:pPr>
              <w:spacing w:after="0" w:line="130" w:lineRule="exact"/>
              <w:rPr>
                <w:sz w:val="20"/>
                <w:szCs w:val="20"/>
                <w:color w:val="auto"/>
              </w:rPr>
            </w:pPr>
            <w:r>
              <w:rPr>
                <w:rFonts w:ascii="Arial" w:cs="Arial" w:eastAsia="Arial" w:hAnsi="Arial"/>
                <w:sz w:val="14"/>
                <w:szCs w:val="14"/>
                <w:color w:val="auto"/>
                <w:w w:val="96"/>
              </w:rPr>
              <w:t>Purchase of subsidiary’s non-controlling interest through</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140"/>
              <w:spacing w:after="0"/>
              <w:rPr>
                <w:sz w:val="20"/>
                <w:szCs w:val="20"/>
                <w:color w:val="auto"/>
              </w:rPr>
            </w:pPr>
            <w:r>
              <w:rPr>
                <w:rFonts w:ascii="Arial" w:cs="Arial" w:eastAsia="Arial" w:hAnsi="Arial"/>
                <w:sz w:val="14"/>
                <w:szCs w:val="14"/>
                <w:color w:val="auto"/>
              </w:rPr>
              <w:t>issuance of shares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2,126,338</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28</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9,078</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rPr>
              <w:t>(33,145)</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(24,039)</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24,039</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Revaluation of deferred tax assets related to share-based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3,061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3,061</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12,785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12,785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1,683</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14,468</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513,324</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(1,280)</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(1,280)</w:t>
            </w: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285,370,619</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5,408</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287,962</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(18,282)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254,444</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668,038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(17,640)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650,398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Note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29"/>
        </w:trPr>
        <w:tc>
          <w:tcPr>
            <w:tcW w:w="7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Income/(loss) for the year</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366,065</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(70,659)</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(75,094)</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operating loss to net cash used in operating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items: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11, 12</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6,665</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2,778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Impairment of intangible assets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investment in associate</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42,938</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 expense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14,468</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12,637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11,849</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(Gain)/loss on investments held at fair value</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37,863</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20,307</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(57,334)</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(Gain)/loss on short-term investments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(843)</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deconsolidation</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(264,409)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(41,730)</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(85,016)</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Gain on loss of significant influence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(445,582)</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(10,287)</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debt to equity</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Disposal of assets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140</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assets</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Share of net (income)/loss of associate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(30,791)</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11,491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17,608</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share of net loss for deconsolidated subsidiary</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8,027</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112,077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1,723</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Subsidiary research and development tax credit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Non-cash rent expense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(gain)/loss on foreign currency transactions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Finance costs, net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46,229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(8,446)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81,797</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in operating assets and liabilities: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747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467</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financial assets</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(1,327)</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(25)</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revenues</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4,841</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11,166</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5,094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5,238</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3,002</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Interest received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3,648</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(2,495)</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(98,156)</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(72,796)</w:t>
            </w: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(88,685)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(12,138)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(4,365)</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Purchases of intangible assets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(400)</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associate preferred shares held at fair value</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5, 6</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(13,670)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Purchase of investments held at fair value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(1,556)</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investments held at fair value</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9,294</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Purchase of convertible note</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(6,480)</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derecognized upon loss of control over subsidiary</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(16,036)</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(13,390)</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(16,340)</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Purchases of short-term investments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(69,541)</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(166,452)</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(147,203)</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Receipt of payment for finance sub-lease</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191</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Proceeds from maturity of short-term investments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173,995</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148,062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249,396</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by/(used in) investing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63,659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(39,645)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83,682</w:t>
            </w:r>
          </w:p>
        </w:tc>
        <w:tc>
          <w:tcPr>
            <w:tcW w:w="0" w:type="dxa"/>
            <w:vAlign w:val="bottom"/>
          </w:tcPr>
          <w:p>
            <w:pPr>
              <w:spacing w:after="0"/>
              <w:rPr>
                <w:sz w:val="1"/>
                <w:szCs w:val="1"/>
                <w:color w:val="auto"/>
              </w:rPr>
            </w:pP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notes</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1,606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6,147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2,616</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Payment of lease liability</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(1,678)</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long-term debt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(178)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Distribution to Tal shareholders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(112)</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504</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shares and subsidiary preferred shares</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51,048</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152,030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(1,280)</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Buyback of shares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shareholders on dissolution of subsidiary</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(1,062)</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Subsidiary dividend payments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 financing activities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49,910</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156,887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14,696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(104)</w:t>
            </w: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200" w:type="dxa"/>
            <w:vAlign w:val="bottom"/>
            <w:vMerge w:val="continue"/>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15,309</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44,402</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9,690</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117,051</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72,649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62,959</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132,360</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117,051</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72,649</w:t>
            </w:r>
          </w:p>
        </w:tc>
        <w:tc>
          <w:tcPr>
            <w:tcW w:w="0" w:type="dxa"/>
            <w:vAlign w:val="bottom"/>
          </w:tcPr>
          <w:p>
            <w:pPr>
              <w:spacing w:after="0"/>
              <w:rPr>
                <w:sz w:val="1"/>
                <w:szCs w:val="1"/>
                <w:color w:val="auto"/>
              </w:rPr>
            </w:pPr>
          </w:p>
        </w:tc>
      </w:tr>
      <w:tr>
        <w:trPr>
          <w:trHeight w:val="156"/>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Supplemental disclosure of non-cash investment and financing activities: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non controlling interest in consideration for issuance of shares and options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9,106</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7920" w:type="dxa"/>
            <w:vAlign w:val="bottom"/>
          </w:tcPr>
          <w:p>
            <w:pPr>
              <w:spacing w:after="0" w:line="130" w:lineRule="exact"/>
              <w:rPr>
                <w:sz w:val="20"/>
                <w:szCs w:val="20"/>
                <w:color w:val="auto"/>
              </w:rPr>
            </w:pPr>
            <w:r>
              <w:rPr>
                <w:rFonts w:ascii="Arial" w:cs="Arial" w:eastAsia="Arial" w:hAnsi="Arial"/>
                <w:sz w:val="14"/>
                <w:szCs w:val="14"/>
                <w:color w:val="auto"/>
                <w:w w:val="95"/>
              </w:rPr>
              <w:t>Purchase of intangible asset and investment held at fair value in consideration for issuance of warrant liability and assumption of other</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15,894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920" w:type="dxa"/>
            <w:vAlign w:val="bottom"/>
          </w:tcPr>
          <w:p>
            <w:pPr>
              <w:ind w:left="140"/>
              <w:spacing w:after="0"/>
              <w:rPr>
                <w:sz w:val="20"/>
                <w:szCs w:val="20"/>
                <w:color w:val="auto"/>
              </w:rPr>
            </w:pPr>
            <w:r>
              <w:rPr>
                <w:rFonts w:ascii="Arial" w:cs="Arial" w:eastAsia="Arial" w:hAnsi="Arial"/>
                <w:sz w:val="14"/>
                <w:szCs w:val="14"/>
                <w:color w:val="auto"/>
              </w:rPr>
              <w:t>long and short-term liabilities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Leasehold improvements purchased through lease incentives (deducted from Right of Use Asset)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10,680</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auto"/>
              </w:rPr>
              <w:t>Conversion of subsidiary convertible note into preferred share liabilities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4,894</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subsidiary convertible note into subsidiary common stock (NCI)</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2,418</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Supplemental disclosure of cash paid for income taxes: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income taxes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PureTech Health plc (“PureTech,” the “Parent” or the “Company”) is a public company incorporated, domiciled and registered in the United Kingdom (“UK”). The registered number is 09582467 and the registered address is 8th Floor, 20 Farringdon Street, London EC4A 3AE, United Kingdom.</w:t>
      </w:r>
    </w:p>
    <w:p>
      <w:pPr>
        <w:spacing w:after="0" w:line="12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PureTech’s group financial statements consolidate those of the Company and its subsidiaries (together referred to as the “Group”). The Parent company financial statements present financial information about the Company as a separate entity and not about its Group.</w:t>
      </w:r>
    </w:p>
    <w:p>
      <w:pPr>
        <w:spacing w:after="0" w:line="170"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accounting policies set out below have, unless otherwise stated, been applied consistently to all periods presented in these group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consolidated financial statements of the Group are presented for the years ended December 31, 2019, 2018 and 2017. The Group financial statements have been approved by the Directors on September 21, 2020 and are prepared in accordance with the International Financial Reporting Standards, International Accounting Standards, and Interpretations (collectively “IFRS”) as issued by the International Accounting Standards Board (“IASB”) as adopted by the European Union (adopted IFRSs).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presentation of the Consolidated Statements of Comprehensive Income/(Loss), the Company uses a classification based on the function of expenses, rather than based on their nature, as it is more representative of the format used for internal reporting and management purposes and is consistent with international practice.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Measurement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consolidated financial statements are prepared on the historical cost basis except that the following assets and liabilities are stated at their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held at fair value and financial instruments classified as fair value through the profit or loss.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Judgments and Estimates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 preparing these consolidated financial statements, management has made judgements, estimates and assumptions that affect the application of the Group’s accounting policies and the reported amounts of assets, liabilities, income and expenses. Actual results may differ from these estimates. Estimates and underlying assumptions are reviewed on an on-going basis.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estimation applied in determining the following:</w:t>
      </w:r>
    </w:p>
    <w:p>
      <w:pPr>
        <w:spacing w:after="0" w:line="131" w:lineRule="exact"/>
        <w:rPr>
          <w:sz w:val="20"/>
          <w:szCs w:val="20"/>
          <w:color w:val="auto"/>
        </w:rPr>
      </w:pPr>
    </w:p>
    <w:p>
      <w:pPr>
        <w:ind w:left="1080" w:right="160" w:hanging="424"/>
        <w:spacing w:after="0" w:line="25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Financial instruments valuations (Note 21): when estimating the fair value of subsidiary undertakings, subsidiary preferred shares and investments carried at fair value through profit and loss (FVTPL) according to IFRS 9 at initial recognition and upon subsequent measurement. This includes determining the appropriate valuation methodology and making certain estimates of the future earnings potential of the subsidiary businesses, appropriate discount rate and earnings multiple to be applied, marketability and other industry and company specific risk factors.</w:t>
      </w:r>
    </w:p>
    <w:p>
      <w:pPr>
        <w:spacing w:after="0" w:line="93"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Revenue recognition (Note 3): when estimating the costs to complete for overtime revenue recognition. This includes making certain estimates of costs to be incurred relating to contracts with customers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540"/>
        <w:spacing w:after="0" w:line="263" w:lineRule="auto"/>
        <w:rPr>
          <w:sz w:val="20"/>
          <w:szCs w:val="20"/>
          <w:color w:val="auto"/>
        </w:rPr>
      </w:pPr>
      <w:r>
        <w:rPr>
          <w:rFonts w:ascii="Arial" w:cs="Arial" w:eastAsia="Arial" w:hAnsi="Arial"/>
          <w:sz w:val="18"/>
          <w:szCs w:val="18"/>
          <w:color w:val="auto"/>
        </w:rPr>
        <w:t>meeting the overtime performance obligation. The costs are for research and development activity and the estimation uncertainty is regarding the level of activity required to meet the performance obligation and the timing in which that arises during the term of the contract.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judgement is also applied in determining the following:</w:t>
      </w:r>
    </w:p>
    <w:p>
      <w:pPr>
        <w:spacing w:after="0" w:line="131" w:lineRule="exact"/>
        <w:rPr>
          <w:sz w:val="20"/>
          <w:szCs w:val="20"/>
          <w:color w:val="auto"/>
        </w:rPr>
      </w:pPr>
    </w:p>
    <w:p>
      <w:pPr>
        <w:ind w:left="1080" w:hanging="424"/>
        <w:spacing w:after="0" w:line="279"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Revenue recognition (Note 3): when determining the correct amount of revenue to be recognized. This includes making certain judgements when determining the appropriate accounting treatment of key customer contract terms in accordance with the applicable accounting standards. In particular, judgement is required to determine the performance obligations in a contract (if promised goods and services are distinct or not) and timing of revenue recognition (on delivery or over a period of time).</w:t>
      </w:r>
    </w:p>
    <w:p>
      <w:pPr>
        <w:spacing w:after="0" w:line="76" w:lineRule="exact"/>
        <w:rPr>
          <w:rFonts w:ascii="Arial" w:cs="Arial" w:eastAsia="Arial" w:hAnsi="Arial"/>
          <w:sz w:val="17"/>
          <w:szCs w:val="17"/>
          <w:color w:val="auto"/>
        </w:rPr>
      </w:pPr>
    </w:p>
    <w:p>
      <w:pPr>
        <w:ind w:left="1080" w:right="20" w:hanging="424"/>
        <w:spacing w:after="0" w:line="255"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Subsidiary preferred shares liability classification (Note 21): when determining the classification of financial instruments in terms of liability or equity. These judgements include an assessment of whether the financial instrument include any embedded derivative features, whether they include contractual obligations upon the Group to deliver cash or other financial assets or to exchange financial assets or financial liabilities with another party, and whether that obligation will be settled by the Company exchanging a fixed amount of cash or other financial assets for a fixed number of its own equity instruments. Further information about these critical judgements and estimates is included below under Financial Instruments.</w:t>
      </w:r>
    </w:p>
    <w:p>
      <w:pPr>
        <w:spacing w:after="0" w:line="97"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When the power to control the subsidiaries exists (please refer to Notes 5 and 6 and accounting policy below Subsidiaries). This judgement includes an assessment of whether the Company has i) power over the investee; (ii) exposure, or rights, to variable returns from its involvement with the investee; and (iii) the ability to use its power over the investee to affect the amount of the investor’s returns. The Company considers among others its voting shares, representation on the board, rights to appoint management, investee dependence on the Company etc.</w:t>
      </w:r>
    </w:p>
    <w:p>
      <w:pPr>
        <w:spacing w:after="0" w:line="93"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Whether the Company has significant influence over financial and operating policies of investees in order to determine if the Company should account for its investment as an associate based on IAS 28 or based on IFRS 9, Financial Instruments (please refer to Note 5). This judgement includes, among others, an assessment whether the Company has representation on the board of directors of the investee, whether the Company participates in the policy making processes of the investee, whether there is any interchange of managerial personnel, whether there is any essential technical information provided to the investee and if there are any transactions between the Company and the investee.</w:t>
      </w:r>
    </w:p>
    <w:p>
      <w:pPr>
        <w:spacing w:after="0" w:line="97" w:lineRule="exact"/>
        <w:rPr>
          <w:rFonts w:ascii="Arial" w:cs="Arial" w:eastAsia="Arial" w:hAnsi="Arial"/>
          <w:sz w:val="18"/>
          <w:szCs w:val="18"/>
          <w:color w:val="auto"/>
        </w:rPr>
      </w:pPr>
    </w:p>
    <w:p>
      <w:pPr>
        <w:ind w:left="1080" w:right="100" w:hanging="424"/>
        <w:spacing w:after="0" w:line="255"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determining that the Company does have significant influence over the financial and operating policies of an investee, if the Company holds more than a single instrument issued by its equity-accounted investee, judgement is required to determine whether the additional instrument forms part of the investment in the associate, which is accounted for under IAS 28 and scoped out of IFRS 9, or it is a separate financial instrument that falls in the scope of IFRS 9 (please refer to Notes 5 and 6). This judgement includes an assessment of the characteristics of the financial instrument of the investee held by the Company and whether such financial instrument provides access to returns underlying an ownership interest.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After making inquiries and considering the impact of risks and opportunities on expected cash flows and based on the cash and cash equivalents available to the Group as of December 31, 2019, the Directors have a reasonable expectation that the Group had adequate cash to continue in operational existence into the first quarter of 2022 and, following the sale of 2,100,000 shares of Karuna common shares worth $200.9 million on January 22, 2020, the Group now has sufficient cash reserves to fund its operations into the first quarter of 2024, assuming broadly our expected level of required investments in businesses and other operating expenditures. The financial statements have been prepared using the going concern basis of accounting.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consolidated financial information for each of the years ended December 31, 2019, 2018 and 2017 comprises an aggregation of financial information of the Company and the consolidated financial information of PureTech Health LLC (“PureTech LLC”). Intra-group balances and transactions, and any unrealized income and expenses arising from intra-group transactions, are eliminated. Unrealized gains arising from transactions with equity-accounted investees are eliminated against the investment to the extent of the Group’s interest in the investee. Unrealized losses are eliminated in the same way as unrealized gains, but only to the extent that there is no evidence of impairment.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Subsidiaries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used in these financial statements, the term subsidiaries refers to entities that are controlled by the Group. Financial results of subsidiaries of the Group as of December 31, 2019 are reported within the Internal segment, Controlled Founded Entities segment or the Parent Company and Other segment (please refer to Note 4). Under applicable accounting rules, the Group controls an entity when it is exposed to, or has the rights to, variable returns from its involvement with the entity and has the ability to affect those returns through its power over the entity. In assessing control, the Group takes into consideration potential voting rights and board interest and holding. The financial statements of subsidiaries are included in the consolidated financial statements from the date that control commences until the date that control ceases. Losses applicable to the non-controlling interests in a subsidiary are allocated to the non-controlling interests even if doing so causes the non-controlling interests to have a deficit balance.</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60"/>
          </w:cols>
          <w:pgMar w:left="320" w:top="459" w:right="6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A list of all current and former subsidiaries organized with respect to classification as of December 31, 2019 and the Group’s total voting percentage, based on outstanding voting common and preferred shares as of December 31, 2019, 2018 and 2017, is outlined below. All subsidiaries are domiciled within the United States and conduct business activities solely within the United States, with the exception of Gelesis, S.r.l. which is domiciled in Italy.</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0" w:type="dxa"/>
            <w:vAlign w:val="bottom"/>
            <w:gridSpan w:val="12"/>
          </w:tcPr>
          <w:p>
            <w:pPr>
              <w:ind w:left="260"/>
              <w:spacing w:after="0"/>
              <w:rPr>
                <w:sz w:val="20"/>
                <w:szCs w:val="20"/>
                <w:color w:val="auto"/>
              </w:rPr>
            </w:pPr>
            <w:r>
              <w:rPr>
                <w:rFonts w:ascii="Arial" w:cs="Arial" w:eastAsia="Arial" w:hAnsi="Arial"/>
                <w:sz w:val="14"/>
                <w:szCs w:val="14"/>
                <w:b w:val="1"/>
                <w:bCs w:val="1"/>
                <w:color w:val="auto"/>
                <w:w w:val="99"/>
              </w:rPr>
              <w:t>Voting percentage at December 31, through the holdings in</w:t>
            </w:r>
          </w:p>
        </w:tc>
        <w:tc>
          <w:tcPr>
            <w:tcW w:w="0" w:type="dxa"/>
            <w:vAlign w:val="bottom"/>
          </w:tcPr>
          <w:p>
            <w:pPr>
              <w:spacing w:after="0"/>
              <w:rPr>
                <w:sz w:val="1"/>
                <w:szCs w:val="1"/>
                <w:color w:val="auto"/>
              </w:rPr>
            </w:pPr>
          </w:p>
        </w:tc>
      </w:tr>
      <w:tr>
        <w:trPr>
          <w:trHeight w:val="171"/>
        </w:trPr>
        <w:tc>
          <w:tcPr>
            <w:tcW w:w="620" w:type="dxa"/>
            <w:vAlign w:val="bottom"/>
            <w:vMerge w:val="restart"/>
          </w:tcPr>
          <w:p>
            <w:pPr>
              <w:spacing w:after="0"/>
              <w:rPr>
                <w:sz w:val="20"/>
                <w:szCs w:val="20"/>
                <w:color w:val="auto"/>
              </w:rPr>
            </w:pPr>
            <w:r>
              <w:rPr>
                <w:rFonts w:ascii="Arial" w:cs="Arial" w:eastAsia="Arial" w:hAnsi="Arial"/>
                <w:sz w:val="14"/>
                <w:szCs w:val="14"/>
                <w:color w:val="auto"/>
                <w:w w:val="91"/>
              </w:rPr>
              <w:t>Subsidiary</w:t>
            </w:r>
          </w:p>
        </w:tc>
        <w:tc>
          <w:tcPr>
            <w:tcW w:w="6200" w:type="dxa"/>
            <w:vAlign w:val="bottom"/>
            <w:vMerge w:val="restart"/>
          </w:tcPr>
          <w:p>
            <w:pPr>
              <w:spacing w:after="0"/>
              <w:rPr>
                <w:sz w:val="14"/>
                <w:szCs w:val="14"/>
                <w:color w:val="auto"/>
              </w:rPr>
            </w:pPr>
          </w:p>
        </w:tc>
        <w:tc>
          <w:tcPr>
            <w:tcW w:w="13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tcBorders>
              <w:bottom w:val="single" w:sz="8" w:color="auto"/>
            </w:tcBorders>
            <w:vMerge w:val="continue"/>
          </w:tcPr>
          <w:p>
            <w:pPr>
              <w:spacing w:after="0"/>
              <w:rPr>
                <w:sz w:val="12"/>
                <w:szCs w:val="12"/>
                <w:color w:val="auto"/>
              </w:rPr>
            </w:pPr>
          </w:p>
        </w:tc>
        <w:tc>
          <w:tcPr>
            <w:tcW w:w="6200" w:type="dxa"/>
            <w:vAlign w:val="bottom"/>
            <w:vMerge w:val="continue"/>
          </w:tcPr>
          <w:p>
            <w:pPr>
              <w:spacing w:after="0"/>
              <w:rPr>
                <w:sz w:val="12"/>
                <w:szCs w:val="12"/>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Common</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Preferred</w:t>
            </w:r>
          </w:p>
        </w:tc>
        <w:tc>
          <w:tcPr>
            <w:tcW w:w="18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color w:val="auto"/>
              </w:rPr>
              <w:t>Common</w:t>
            </w: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89"/>
              </w:rPr>
              <w:t>Preferred</w:t>
            </w:r>
          </w:p>
        </w:tc>
        <w:tc>
          <w:tcPr>
            <w:tcW w:w="16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color w:val="auto"/>
              </w:rPr>
              <w:t>Common</w:t>
            </w: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89"/>
              </w:rPr>
              <w:t>Preferred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Subsidiary operating companies</w:t>
            </w: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Alivio Therapeutics, Inc. </w:t>
            </w:r>
            <w:r>
              <w:rPr>
                <w:rFonts w:ascii="Arial" w:cs="Arial" w:eastAsia="Arial" w:hAnsi="Arial"/>
                <w:sz w:val="15"/>
                <w:szCs w:val="15"/>
                <w:color w:val="auto"/>
              </w:rPr>
              <w:t>1,2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91.9</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Calix Biosciences, Inc. </w:t>
            </w:r>
            <w:r>
              <w:rPr>
                <w:rFonts w:ascii="Arial" w:cs="Arial" w:eastAsia="Arial" w:hAnsi="Arial"/>
                <w:sz w:val="15"/>
                <w:szCs w:val="15"/>
                <w:color w:val="auto"/>
              </w:rPr>
              <w:t>2,10</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Entrega, Inc. (indirectly held through Enlight) </w:t>
            </w:r>
            <w:r>
              <w:rPr>
                <w:rFonts w:ascii="Arial" w:cs="Arial" w:eastAsia="Arial" w:hAnsi="Arial"/>
                <w:sz w:val="15"/>
                <w:szCs w:val="15"/>
                <w:color w:val="auto"/>
              </w:rPr>
              <w:t>1,2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Follica, Incorporated </w:t>
            </w:r>
            <w:r>
              <w:rPr>
                <w:rFonts w:ascii="Arial" w:cs="Arial" w:eastAsia="Arial" w:hAnsi="Arial"/>
                <w:sz w:val="15"/>
                <w:szCs w:val="15"/>
                <w:color w:val="auto"/>
              </w:rPr>
              <w:t>1,2,5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Glyph Biosciences, Inc. </w:t>
            </w:r>
            <w:r>
              <w:rPr>
                <w:rFonts w:ascii="Arial" w:cs="Arial" w:eastAsia="Arial" w:hAnsi="Arial"/>
                <w:sz w:val="15"/>
                <w:szCs w:val="15"/>
                <w:color w:val="auto"/>
              </w:rPr>
              <w:t>1,2,10</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Nybo Therapeutics, Inc. </w:t>
            </w:r>
            <w:r>
              <w:rPr>
                <w:rFonts w:ascii="Arial" w:cs="Arial" w:eastAsia="Arial" w:hAnsi="Arial"/>
                <w:sz w:val="15"/>
                <w:szCs w:val="15"/>
                <w:color w:val="auto"/>
              </w:rPr>
              <w:t>1,2,10</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PureTech LYT (formerly Ariya Therapeutics, Inc.) </w:t>
            </w:r>
            <w:r>
              <w:rPr>
                <w:rFonts w:ascii="Arial" w:cs="Arial" w:eastAsia="Arial" w:hAnsi="Arial"/>
                <w:sz w:val="15"/>
                <w:szCs w:val="15"/>
                <w:color w:val="auto"/>
              </w:rPr>
              <w:t>10</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PureTech LYT-100</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PureTech Management, Inc. </w:t>
            </w:r>
            <w:r>
              <w:rPr>
                <w:rFonts w:ascii="Arial" w:cs="Arial" w:eastAsia="Arial" w:hAnsi="Arial"/>
                <w:sz w:val="15"/>
                <w:szCs w:val="15"/>
                <w:color w:val="auto"/>
              </w:rPr>
              <w:t>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PureTech Health LLC </w:t>
            </w:r>
            <w:r>
              <w:rPr>
                <w:rFonts w:ascii="Arial" w:cs="Arial" w:eastAsia="Arial" w:hAnsi="Arial"/>
                <w:sz w:val="15"/>
                <w:szCs w:val="15"/>
                <w:color w:val="auto"/>
              </w:rPr>
              <w:t>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Sonde Health, Inc. </w:t>
            </w:r>
            <w:r>
              <w:rPr>
                <w:rFonts w:ascii="Arial" w:cs="Arial" w:eastAsia="Arial" w:hAnsi="Arial"/>
                <w:sz w:val="15"/>
                <w:szCs w:val="15"/>
                <w:color w:val="auto"/>
              </w:rPr>
              <w:t>1,2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Vedanta Biosciences, Inc. </w:t>
            </w:r>
            <w:r>
              <w:rPr>
                <w:rFonts w:ascii="Arial" w:cs="Arial" w:eastAsia="Arial" w:hAnsi="Arial"/>
                <w:sz w:val="15"/>
                <w:szCs w:val="15"/>
                <w:color w:val="auto"/>
              </w:rPr>
              <w:t>1,2</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61.8</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Vedanta Biosciences Securities Corp. (indirectly held through Vedanta) </w:t>
            </w:r>
            <w:r>
              <w:rPr>
                <w:rFonts w:ascii="Arial" w:cs="Arial" w:eastAsia="Arial" w:hAnsi="Arial"/>
                <w:sz w:val="15"/>
                <w:szCs w:val="15"/>
                <w:color w:val="auto"/>
              </w:rPr>
              <w:t>1,2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61.8</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Deconsolidated former subsidiary operating companies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Akili Interactive Labs, Inc. </w:t>
            </w:r>
            <w:r>
              <w:rPr>
                <w:rFonts w:ascii="Arial" w:cs="Arial" w:eastAsia="Arial" w:hAnsi="Arial"/>
                <w:sz w:val="15"/>
                <w:szCs w:val="15"/>
                <w:color w:val="auto"/>
              </w:rPr>
              <w:t>1,2,9</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41.9</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Akili Securities Corp. (indirectly held through Akili) </w:t>
            </w:r>
            <w:r>
              <w:rPr>
                <w:rFonts w:ascii="Arial" w:cs="Arial" w:eastAsia="Arial" w:hAnsi="Arial"/>
                <w:sz w:val="15"/>
                <w:szCs w:val="15"/>
                <w:color w:val="auto"/>
              </w:rPr>
              <w:t>1,2,9</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41.9</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Gelesis, Inc. </w:t>
            </w:r>
            <w:r>
              <w:rPr>
                <w:rFonts w:ascii="Arial" w:cs="Arial" w:eastAsia="Arial" w:hAnsi="Arial"/>
                <w:sz w:val="15"/>
                <w:szCs w:val="15"/>
                <w:color w:val="auto"/>
              </w:rPr>
              <w:t>1,2,11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Gelesis, S.r.l. (indirectly held through Gelesis) </w:t>
            </w:r>
            <w:r>
              <w:rPr>
                <w:rFonts w:ascii="Arial" w:cs="Arial" w:eastAsia="Arial" w:hAnsi="Arial"/>
                <w:sz w:val="15"/>
                <w:szCs w:val="15"/>
                <w:color w:val="auto"/>
              </w:rPr>
              <w:t>7,11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Gelesis, LLC (indirectly held through Gelesis) </w:t>
            </w:r>
            <w:r>
              <w:rPr>
                <w:rFonts w:ascii="Arial" w:cs="Arial" w:eastAsia="Arial" w:hAnsi="Arial"/>
                <w:sz w:val="15"/>
                <w:szCs w:val="15"/>
                <w:color w:val="auto"/>
              </w:rPr>
              <w:t>1,8,11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Gelesis 2012, Inc. (held indirectly through Gelesis) </w:t>
            </w:r>
            <w:r>
              <w:rPr>
                <w:rFonts w:ascii="Arial" w:cs="Arial" w:eastAsia="Arial" w:hAnsi="Arial"/>
                <w:sz w:val="15"/>
                <w:szCs w:val="15"/>
                <w:color w:val="auto"/>
              </w:rPr>
              <w:t>2,11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Karuna Pharmaceuticals, Inc. </w:t>
            </w:r>
            <w:r>
              <w:rPr>
                <w:rFonts w:ascii="Arial" w:cs="Arial" w:eastAsia="Arial" w:hAnsi="Arial"/>
                <w:sz w:val="15"/>
                <w:szCs w:val="15"/>
                <w:color w:val="auto"/>
              </w:rPr>
              <w:t>1,2,13</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28.4</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Vor Biopharma Inc. </w:t>
            </w:r>
            <w:r>
              <w:rPr>
                <w:rFonts w:ascii="Arial" w:cs="Arial" w:eastAsia="Arial" w:hAnsi="Arial"/>
                <w:sz w:val="15"/>
                <w:szCs w:val="15"/>
                <w:color w:val="auto"/>
              </w:rPr>
              <w:t>1,2,14</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47.5</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Nontrading holding companies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Endra Holdings, LLC (held indirectly through Enlight) </w:t>
            </w:r>
            <w:r>
              <w:rPr>
                <w:rFonts w:ascii="Arial" w:cs="Arial" w:eastAsia="Arial" w:hAnsi="Arial"/>
                <w:sz w:val="15"/>
                <w:szCs w:val="15"/>
                <w:color w:val="auto"/>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Ensof Holdings, LLC (held indirectly through Enlight) </w:t>
            </w:r>
            <w:r>
              <w:rPr>
                <w:rFonts w:ascii="Arial" w:cs="Arial" w:eastAsia="Arial" w:hAnsi="Arial"/>
                <w:sz w:val="15"/>
                <w:szCs w:val="15"/>
                <w:color w:val="auto"/>
              </w:rPr>
              <w:t>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PureTech Securities Corp. </w:t>
            </w:r>
            <w:r>
              <w:rPr>
                <w:rFonts w:ascii="Arial" w:cs="Arial" w:eastAsia="Arial" w:hAnsi="Arial"/>
                <w:sz w:val="15"/>
                <w:szCs w:val="15"/>
                <w:color w:val="auto"/>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Inactive subsidiaries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Appeering, Inc. </w:t>
            </w:r>
            <w:r>
              <w:rPr>
                <w:rFonts w:ascii="Arial" w:cs="Arial" w:eastAsia="Arial" w:hAnsi="Arial"/>
                <w:sz w:val="15"/>
                <w:szCs w:val="15"/>
                <w:color w:val="auto"/>
              </w:rPr>
              <w:t>2</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Commense Inc. </w:t>
            </w:r>
            <w:r>
              <w:rPr>
                <w:rFonts w:ascii="Arial" w:cs="Arial" w:eastAsia="Arial" w:hAnsi="Arial"/>
                <w:sz w:val="15"/>
                <w:szCs w:val="15"/>
                <w:color w:val="auto"/>
              </w:rPr>
              <w:t>2,6</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99.1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Enlight Biosciences, LLC </w:t>
            </w:r>
            <w:r>
              <w:rPr>
                <w:rFonts w:ascii="Arial" w:cs="Arial" w:eastAsia="Arial" w:hAnsi="Arial"/>
                <w:sz w:val="15"/>
                <w:szCs w:val="15"/>
                <w:color w:val="auto"/>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Ensof Biosystems, Inc. (held indirectly through Enlight) </w:t>
            </w:r>
            <w:r>
              <w:rPr>
                <w:rFonts w:ascii="Arial" w:cs="Arial" w:eastAsia="Arial" w:hAnsi="Arial"/>
                <w:sz w:val="15"/>
                <w:szCs w:val="15"/>
                <w:color w:val="auto"/>
              </w:rPr>
              <w:t>1,2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Knode Inc. (indirectly held through Enlight) </w:t>
            </w:r>
            <w:r>
              <w:rPr>
                <w:rFonts w:ascii="Arial" w:cs="Arial" w:eastAsia="Arial" w:hAnsi="Arial"/>
                <w:sz w:val="15"/>
                <w:szCs w:val="15"/>
                <w:color w:val="auto"/>
              </w:rPr>
              <w:t>2</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Libra Biosciences, Inc. </w:t>
            </w:r>
            <w:r>
              <w:rPr>
                <w:rFonts w:ascii="Arial" w:cs="Arial" w:eastAsia="Arial" w:hAnsi="Arial"/>
                <w:sz w:val="15"/>
                <w:szCs w:val="15"/>
                <w:color w:val="auto"/>
              </w:rPr>
              <w:t>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Mandara Sciences, LLC </w:t>
            </w:r>
            <w:r>
              <w:rPr>
                <w:rFonts w:ascii="Arial" w:cs="Arial" w:eastAsia="Arial" w:hAnsi="Arial"/>
                <w:sz w:val="15"/>
                <w:szCs w:val="15"/>
                <w:color w:val="auto"/>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The Sync Project, Inc. </w:t>
            </w:r>
            <w:r>
              <w:rPr>
                <w:rFonts w:ascii="Arial" w:cs="Arial" w:eastAsia="Arial" w:hAnsi="Arial"/>
                <w:sz w:val="15"/>
                <w:szCs w:val="15"/>
                <w:color w:val="auto"/>
              </w:rPr>
              <w:t>1,2</w:t>
            </w:r>
          </w:p>
        </w:tc>
        <w:tc>
          <w:tcPr>
            <w:tcW w:w="7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Tal Medical, Inc. </w:t>
            </w:r>
            <w:r>
              <w:rPr>
                <w:rFonts w:ascii="Arial" w:cs="Arial" w:eastAsia="Arial" w:hAnsi="Arial"/>
                <w:sz w:val="15"/>
                <w:szCs w:val="15"/>
                <w:color w:val="auto"/>
              </w:rPr>
              <w:t>1,2</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260" w:hanging="424"/>
        <w:spacing w:after="0" w:line="263" w:lineRule="auto"/>
        <w:tabs>
          <w:tab w:leader="none" w:pos="540" w:val="left"/>
        </w:tabs>
        <w:numPr>
          <w:ilvl w:val="0"/>
          <w:numId w:val="201"/>
        </w:numPr>
        <w:rPr>
          <w:rFonts w:ascii="Arial" w:cs="Arial" w:eastAsia="Arial" w:hAnsi="Arial"/>
          <w:sz w:val="15"/>
          <w:szCs w:val="15"/>
          <w:color w:val="auto"/>
        </w:rPr>
      </w:pPr>
      <w:r>
        <w:rPr>
          <w:rFonts w:ascii="Arial" w:cs="Arial" w:eastAsia="Arial" w:hAnsi="Arial"/>
          <w:sz w:val="18"/>
          <w:szCs w:val="18"/>
          <w:color w:val="auto"/>
        </w:rPr>
        <w:t>The ownership percentage includes liability classified preferred shares, which results in the ownership percentage not being the same as the ownership percentage used in allocations to non-controlling interests disclosed in Note 16. The allocation of losses/profits to the noncontrolling interest is based on the holdings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of subordinated stock that provide ownership rights in the subsidiaries. The ownership of liability classified preferred shares are quantified in Note 15.</w:t>
      </w: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Registered address is Corporation Trust Center, 1209 Orange St., Wilmington, DE 19801, USA.</w:t>
      </w:r>
    </w:p>
    <w:p>
      <w:pPr>
        <w:spacing w:after="0" w:line="10" w:lineRule="exact"/>
        <w:rPr>
          <w:rFonts w:ascii="Arial" w:cs="Arial" w:eastAsia="Arial" w:hAnsi="Arial"/>
          <w:sz w:val="15"/>
          <w:szCs w:val="15"/>
          <w:color w:val="auto"/>
        </w:rPr>
      </w:pP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Registered address is 2711 Centerville Rd., Suite 400, Wilmington, DE 19808, USA.</w:t>
      </w:r>
    </w:p>
    <w:p>
      <w:pPr>
        <w:spacing w:after="0" w:line="9" w:lineRule="exact"/>
        <w:rPr>
          <w:rFonts w:ascii="Arial" w:cs="Arial" w:eastAsia="Arial" w:hAnsi="Arial"/>
          <w:sz w:val="15"/>
          <w:szCs w:val="15"/>
          <w:color w:val="auto"/>
        </w:rPr>
      </w:pPr>
    </w:p>
    <w:p>
      <w:pPr>
        <w:ind w:left="540" w:right="60" w:hanging="424"/>
        <w:spacing w:after="0" w:line="265" w:lineRule="auto"/>
        <w:tabs>
          <w:tab w:leader="none" w:pos="540" w:val="left"/>
        </w:tabs>
        <w:numPr>
          <w:ilvl w:val="0"/>
          <w:numId w:val="202"/>
        </w:numPr>
        <w:rPr>
          <w:rFonts w:ascii="Arial" w:cs="Arial" w:eastAsia="Arial" w:hAnsi="Arial"/>
          <w:sz w:val="14"/>
          <w:szCs w:val="14"/>
          <w:color w:val="auto"/>
        </w:rPr>
      </w:pPr>
      <w:r>
        <w:rPr>
          <w:rFonts w:ascii="Arial" w:cs="Arial" w:eastAsia="Arial" w:hAnsi="Arial"/>
          <w:sz w:val="17"/>
          <w:szCs w:val="17"/>
          <w:color w:val="auto"/>
        </w:rPr>
        <w:t>The Company’s interests in its subsidiaries are predominantly in the form of preferred shares, which have a liquidation preference over the common stock, are convertible into common stock at the holder’s discretion or upon certain liquidity events, are entitled to one vote per share on all matters submitted to shareholders for a vote and entitled to receive dividends when and if declared, except in the case of Enlight, Mandara and PureTech Health LLC in which the holdings are membership interests in an LLC. The holders of common stock are entitled to one vote per share on all matters submitted to shareholders for a vote and entitled to receive dividends when and if declared.</w:t>
      </w:r>
    </w:p>
    <w:p>
      <w:pPr>
        <w:ind w:left="540" w:right="60" w:hanging="424"/>
        <w:spacing w:after="0" w:line="250"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On July 19, 2019, all of the outstanding notes, plus accrued interest, issued by Follica to PureTech converted into 15,216,214 shares of Series A-3 Preferred Shares and 12,777,287 shares of common share pursuant to a Series A-3 Note Conversion Agreement between Follica and the noteholders. Please refer to Note 16.</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Commense turned inactive during 2019.</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Registered address is Via Verde 188, 73021 Calmera (LE), Italy.</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Registered address is 901 N. Market St., Suite 705, Wilmington, DE 19801, USA.</w:t>
      </w:r>
    </w:p>
    <w:p>
      <w:pPr>
        <w:spacing w:after="0" w:line="9" w:lineRule="exact"/>
        <w:rPr>
          <w:rFonts w:ascii="Arial" w:cs="Arial" w:eastAsia="Arial" w:hAnsi="Arial"/>
          <w:sz w:val="15"/>
          <w:szCs w:val="15"/>
          <w:color w:val="auto"/>
        </w:rPr>
      </w:pPr>
    </w:p>
    <w:p>
      <w:pPr>
        <w:ind w:left="540" w:right="320" w:hanging="424"/>
        <w:spacing w:after="0" w:line="250"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On May 8, 2018, PureTech lost control of Akili, Akili was deconsolidated from the Group’s financial statements and is no longer considered a subsidiary. This results in only the profits and losses generated by Akili through the deconsolidation date being included in the Group’s Consolidated Statement of Income/(Loss) and Other Comprehensive Income/(Loss).</w:t>
      </w:r>
    </w:p>
    <w:p>
      <w:pPr>
        <w:spacing w:after="0" w:line="1" w:lineRule="exact"/>
        <w:rPr>
          <w:rFonts w:ascii="Arial" w:cs="Arial" w:eastAsia="Arial" w:hAnsi="Arial"/>
          <w:sz w:val="15"/>
          <w:szCs w:val="15"/>
          <w:color w:val="auto"/>
        </w:rPr>
      </w:pPr>
    </w:p>
    <w:p>
      <w:pPr>
        <w:ind w:left="540" w:right="280" w:hanging="424"/>
        <w:spacing w:after="0" w:line="250"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On July 18, 2018, Calix Biopharma, Inc., Glyph Biosciences, Inc., and Nybo Therapeutics, Inc. merged into Ariya Therapeutics, Inc. Thus, the Group no longer holds interest in Calix, Glyph and Nybo and owns 100 per cent of Ariya as of December 31, 2018.</w:t>
      </w:r>
    </w:p>
    <w:p>
      <w:pPr>
        <w:ind w:left="540" w:right="280" w:hanging="424"/>
        <w:spacing w:after="0" w:line="265" w:lineRule="auto"/>
        <w:tabs>
          <w:tab w:leader="none" w:pos="540" w:val="left"/>
        </w:tabs>
        <w:numPr>
          <w:ilvl w:val="0"/>
          <w:numId w:val="202"/>
        </w:numPr>
        <w:rPr>
          <w:rFonts w:ascii="Arial" w:cs="Arial" w:eastAsia="Arial" w:hAnsi="Arial"/>
          <w:sz w:val="14"/>
          <w:szCs w:val="14"/>
          <w:color w:val="auto"/>
        </w:rPr>
      </w:pPr>
      <w:r>
        <w:rPr>
          <w:rFonts w:ascii="Arial" w:cs="Arial" w:eastAsia="Arial" w:hAnsi="Arial"/>
          <w:sz w:val="17"/>
          <w:szCs w:val="17"/>
          <w:color w:val="auto"/>
        </w:rPr>
        <w:t>As of December 31, 2018, PureTech maintained control of Gelesis. On July 1, 2019 PureTech lost control of Gelesis and Gelesis was deconsolidated from the Group’s financial statements, resulting in only the profits and losses generated by Gelesis through the deconsolidation date being included in the Group’s Consolidated Statement of Income/(Loss) and Other Comprehensive Income/(Loss).</w:t>
      </w:r>
    </w:p>
    <w:p>
      <w:pPr>
        <w:ind w:left="540" w:hanging="424"/>
        <w:spacing w:after="0"/>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All subsidiaries are registered in the United States (“U.S.”) except for Gelesis, S.r.l., which is registered in Italy.</w:t>
      </w:r>
    </w:p>
    <w:p>
      <w:pPr>
        <w:spacing w:after="0" w:line="9" w:lineRule="exact"/>
        <w:rPr>
          <w:rFonts w:ascii="Arial" w:cs="Arial" w:eastAsia="Arial" w:hAnsi="Arial"/>
          <w:sz w:val="15"/>
          <w:szCs w:val="15"/>
          <w:color w:val="auto"/>
        </w:rPr>
      </w:pPr>
    </w:p>
    <w:p>
      <w:pPr>
        <w:ind w:left="540" w:right="340" w:hanging="424"/>
        <w:spacing w:after="0" w:line="250"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On March 15, 2019, PureTech lost control of Karuna, Karuna was deconsolidated from the Group’s financial statements and is no longer considered a subsidiary. This results in only the profits and losses generated by Karuna through the deconsolidation date being included in the Group’s Consolidated Statement of Income/(Loss) and Other Comprehensive Income/(Loss).</w:t>
      </w:r>
    </w:p>
    <w:p>
      <w:pPr>
        <w:spacing w:after="0" w:line="1" w:lineRule="exact"/>
        <w:rPr>
          <w:rFonts w:ascii="Arial" w:cs="Arial" w:eastAsia="Arial" w:hAnsi="Arial"/>
          <w:sz w:val="15"/>
          <w:szCs w:val="15"/>
          <w:color w:val="auto"/>
        </w:rPr>
      </w:pPr>
    </w:p>
    <w:p>
      <w:pPr>
        <w:ind w:left="540" w:right="140" w:hanging="424"/>
        <w:spacing w:after="0" w:line="255" w:lineRule="auto"/>
        <w:tabs>
          <w:tab w:leader="none" w:pos="54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On February 12, 2019, PureTech lost control of Vor, Vor was deconsolidated from the Group’s financial statements and is no longer considered a subsidiary. This results in only the profits and losses generated by Vor through the deconsolidation date being included in the Group’s Consolidated Statement of Income/(Loss) and Other Comprehensive Income/(Loss).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Subsidiary Ownership and Loss of Control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Group’s interest in a subsidiary that do not result in a loss of control are accounted for as equity transactions.</w:t>
      </w:r>
    </w:p>
    <w:p>
      <w:pPr>
        <w:spacing w:after="0" w:line="22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Where the Group loses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Associates</w:t>
      </w:r>
    </w:p>
    <w:p>
      <w:pPr>
        <w:spacing w:after="0" w:line="117"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color w:val="auto"/>
        </w:rPr>
        <w:t>As used in these financial statements, the term associates are those entities in which the Group has no control but maintains significant influence over the financial and operating policies. Significant influence is presumed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exist when the Group holds between 20 and 50 percent of the voting power of an entity, unless it can be clearly demonstrated that this is not the case. The Group evaluates if it maintains significant influence over associates by assessing if the Group has lost the power to participate in the financial and operating policy decisions of the associate.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of the Equity Method to Associates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the Group’s share of the total comprehensive income and equity movements of equity accounted investees, from the date that significant influence commences until the date that significant influence ceases. When the Group’s share of losses exceeds its investment in an equity accounted investee, including the Group’s investments in other long-term interests, the Group’s carrying amount is reduced to nil and recognition of further losses is discontinued except to the extent that the Group has incurred legal or constructive obligations or made payments on behalf of an investee. To the extent the Group holds interests in associates that are not providing access to returns underlying ownership interests and are more akin to debt like securities, the instrument held by PureTech is accounted for in accordance with IFRS 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January 1, 2019, the Group has adopted new accounting policies for the accounting for leases. See updated accounting policy for leases (IFRS 16) below.</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Group has also adopted the amendments to IAS 28 Investments in Associates that addresses the dual application of IAS 28 and IFRS 9 (see below) when equity method losses are applied against Long-Term Investments (LTI), as defined in IAS 28. The amendments provide the annual sequence in which both standards are to be applied in such a case. The amendment did not have an impact on the Group’s financial statements as the Group has not yet had an investment in an associate where it applied the equity method losses against a LTI.</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January 1, 2018 the Group has adopted new accounting policies for financial instruments and revenue. See updated accounting policies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As of January 1, 2018, the Company adopted IFRS 9, Financial Instruments (“IFRS 9”), which replaced IAS 39, Financial Instruments: Recognition and Measurement. IFRS 9 addresses the classification, measurement and recognition of financial assets and liabilities. IFRS 9 retains but simplifies the mixed measurement model and establishes three primary measurement categories for financial assets: amortized cost, fair value through other comprehensive income (“FVOCI”), and fair value through the profit and loss statement (“FVTPL”). The basis of classification depends on the entity’s business model and the contractual cash flow characteristics of the entity’s business model and of the financial asset. Investments in equity instruments are required to be measured at FVTPL with the irrevocable option at inception to present changes in fair value in other comprehensive income. There is now a new expected credit losses model that replaces the incurred loss impairment model previously used in IAS 39. For financial liabilities there were no changes to classification and measurement except for the recognition of changes in the Company’s own credit risk in Other Comprehensive Income/(Loss) for liabilities designated at FVTPL. IFRS 9 relaxes the requirements for hedge effectiveness by replacing the bright line hedge effectiveness tests. It requires an economic relationship between the hedged item and hedging instrument and for the hedged ratio to be the same as the one management uses for risk management purposes.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Contemporaneous documentation is still required but is different than what was prepared under IAS 39.</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Group reviewed the financial liabilities reported on its Consolidated Statements of Financial Position and completed an assessment between IAS 39 and IFRS 9 to identify any accounting changes. The financial liabilities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subject to this review were the Subsidiary notes payable, Derivative liability, Warrant liability, and Preferred share liability. Based on this assessment of the classification and measurement model, impairment and interest income, the accounting impact on financial liabilities was determined not to be material. As part of the transition requirement, entities have the option upon implementation of the new standard to designate a financial liability as measured at FVTPL. The Group re-assessed its financial liabilities and has elected not to split out embedded derivatives and retrospectively recorded changes in fair value of the entire financial liability instrument through the statement of profit and loss, leading to changes in the carrying value of the instruments when looked at in the aggregate.</w:t>
      </w:r>
    </w:p>
    <w:p>
      <w:pPr>
        <w:spacing w:after="0" w:line="1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Group also reviewed the financial assets reported on its Consolidated Statements of Financial Position and notes no changes in the application of IFRS 9.</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Group has applied IFRS 9 retrospectively but has elected not to restate comparative information. As a result, the comparative information provided continues to be accounted for in accordance with the Group’s previous accounting policy. The reclassification and adjustment arising from the adoption of the new accounting policy has been recognized in the opening statement of financial position as of January 1, 2018.</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IAS 39 as of December 31,</w:t>
            </w:r>
          </w:p>
        </w:tc>
        <w:tc>
          <w:tcPr>
            <w:tcW w:w="940" w:type="dxa"/>
            <w:vAlign w:val="bottom"/>
          </w:tcPr>
          <w:p>
            <w:pPr>
              <w:spacing w:after="0"/>
              <w:rPr>
                <w:sz w:val="14"/>
                <w:szCs w:val="1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Cumulative Effect</w:t>
            </w:r>
          </w:p>
        </w:tc>
        <w:tc>
          <w:tcPr>
            <w:tcW w:w="2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IFRS 9 As of January 1,</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Adjustment to</w:t>
            </w:r>
          </w:p>
        </w:tc>
        <w:tc>
          <w:tcPr>
            <w:tcW w:w="2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6"/>
              </w:rPr>
              <w:t>Financial Liability</w:t>
            </w:r>
          </w:p>
        </w:tc>
        <w:tc>
          <w:tcPr>
            <w:tcW w:w="960" w:type="dxa"/>
            <w:vAlign w:val="bottom"/>
            <w:vMerge w:val="restart"/>
          </w:tcPr>
          <w:p>
            <w:pPr>
              <w:spacing w:after="0"/>
              <w:rPr>
                <w:sz w:val="12"/>
                <w:szCs w:val="12"/>
                <w:color w:val="auto"/>
              </w:rPr>
            </w:pPr>
          </w:p>
        </w:tc>
        <w:tc>
          <w:tcPr>
            <w:tcW w:w="238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auto"/>
              </w:rPr>
              <w:t>2017</w:t>
            </w:r>
          </w:p>
        </w:tc>
        <w:tc>
          <w:tcPr>
            <w:tcW w:w="2740" w:type="dxa"/>
            <w:vAlign w:val="bottom"/>
            <w:gridSpan w:val="3"/>
          </w:tcPr>
          <w:p>
            <w:pPr>
              <w:jc w:val="center"/>
              <w:ind w:left="316"/>
              <w:spacing w:after="0" w:line="149" w:lineRule="exact"/>
              <w:rPr>
                <w:sz w:val="20"/>
                <w:szCs w:val="20"/>
                <w:color w:val="auto"/>
              </w:rPr>
            </w:pPr>
            <w:r>
              <w:rPr>
                <w:rFonts w:ascii="Arial" w:cs="Arial" w:eastAsia="Arial" w:hAnsi="Arial"/>
                <w:sz w:val="14"/>
                <w:szCs w:val="14"/>
                <w:b w:val="1"/>
                <w:bCs w:val="1"/>
                <w:color w:val="auto"/>
                <w:w w:val="93"/>
              </w:rPr>
              <w:t>Accumulated Deficit</w:t>
            </w:r>
          </w:p>
        </w:tc>
        <w:tc>
          <w:tcPr>
            <w:tcW w:w="1960" w:type="dxa"/>
            <w:vAlign w:val="bottom"/>
            <w:gridSpan w:val="2"/>
          </w:tcPr>
          <w:p>
            <w:pPr>
              <w:jc w:val="right"/>
              <w:ind w:right="515"/>
              <w:spacing w:after="0" w:line="14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940" w:type="dxa"/>
            <w:vAlign w:val="bottom"/>
          </w:tcPr>
          <w:p>
            <w:pPr>
              <w:spacing w:after="0"/>
              <w:rPr>
                <w:sz w:val="15"/>
                <w:szCs w:val="15"/>
                <w:color w:val="auto"/>
              </w:rPr>
            </w:pPr>
          </w:p>
        </w:tc>
        <w:tc>
          <w:tcPr>
            <w:tcW w:w="180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7"/>
              </w:rPr>
              <w:t>$000s</w:t>
            </w:r>
          </w:p>
        </w:tc>
        <w:tc>
          <w:tcPr>
            <w:tcW w:w="480" w:type="dxa"/>
            <w:vAlign w:val="bottom"/>
          </w:tcPr>
          <w:p>
            <w:pPr>
              <w:spacing w:after="0"/>
              <w:rPr>
                <w:sz w:val="15"/>
                <w:szCs w:val="15"/>
                <w:color w:val="auto"/>
              </w:rPr>
            </w:pPr>
          </w:p>
        </w:tc>
        <w:tc>
          <w:tcPr>
            <w:tcW w:w="15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Notes payable</w:t>
            </w:r>
          </w:p>
        </w:tc>
        <w:tc>
          <w:tcPr>
            <w:tcW w:w="7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7,455</w:t>
            </w:r>
          </w:p>
        </w:tc>
        <w:tc>
          <w:tcPr>
            <w:tcW w:w="9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6,435</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13,890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114,263</w:t>
            </w:r>
          </w:p>
        </w:tc>
        <w:tc>
          <w:tcPr>
            <w:tcW w:w="2740" w:type="dxa"/>
            <w:vAlign w:val="bottom"/>
            <w:gridSpan w:val="3"/>
          </w:tcPr>
          <w:p>
            <w:pPr>
              <w:jc w:val="right"/>
              <w:ind w:right="480"/>
              <w:spacing w:after="0"/>
              <w:rPr>
                <w:sz w:val="20"/>
                <w:szCs w:val="20"/>
                <w:color w:val="auto"/>
              </w:rPr>
            </w:pPr>
            <w:r>
              <w:rPr>
                <w:rFonts w:ascii="Arial" w:cs="Arial" w:eastAsia="Arial" w:hAnsi="Arial"/>
                <w:sz w:val="18"/>
                <w:szCs w:val="18"/>
                <w:color w:val="auto"/>
              </w:rPr>
              <w:t>(114,263)</w:t>
            </w:r>
          </w:p>
        </w:tc>
        <w:tc>
          <w:tcPr>
            <w:tcW w:w="48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9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76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120,051</w:t>
            </w:r>
          </w:p>
        </w:tc>
        <w:tc>
          <w:tcPr>
            <w:tcW w:w="9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95,584</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254,864</w:t>
            </w:r>
          </w:p>
        </w:tc>
        <w:tc>
          <w:tcPr>
            <w:tcW w:w="2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(12,244)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accounting policy (effective from January 1, 2018) is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January 1, 2018, the Group classifies its financial assets in the following measurement categories:</w:t>
      </w:r>
    </w:p>
    <w:p>
      <w:pPr>
        <w:spacing w:after="0" w:line="131" w:lineRule="exact"/>
        <w:rPr>
          <w:sz w:val="20"/>
          <w:szCs w:val="20"/>
          <w:color w:val="auto"/>
        </w:rPr>
      </w:pPr>
    </w:p>
    <w:p>
      <w:pPr>
        <w:ind w:left="1080" w:hanging="424"/>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Those to be measured subsequently at fair value (either through other comprehensive income, or through profit or loss),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Those to be measured at amortized cost.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classification depends on the Group’s business model for managing the financial assets and the contractual terms of the cash flows.</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 assets measured at fair value, gains and losses will either be recorded in profit or loss or other comprehensive income. For investments in debt instruments, this will depend on the business model in which the investment is held. For investments in equity instruments that are not held for trading, this will depend on whether the Group has made an irrevocable election at the time of initial recognition to account for the equity investment at FVOCI.</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w:t>
      </w:r>
    </w:p>
    <w:p>
      <w:pPr>
        <w:spacing w:after="0" w:line="11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At initial recognition, the Group measures a financial asset at its fair value plus, in the case of a financial asset not at FVTPL, transaction costs that are directly attributable to the acquisition of the financial asset. Transaction costs of financial assets that are carried at FVTPL are expensed.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9" w:right="5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assesses on a forward-looking basis the expected credit losses associated with its debt instruments carried at amortized cost and FVOCI. The impairment methodology applied depends on whether there has been a significant increase in credit risk. For trade receivables, the Group applies the simplified approach permitted by IFRS 9, which requires expected lifetime losses to be recognized from initial recognition of the receivables.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reviewed the financial assets and liabilities and determined the following impact from the adoption of the new standard: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Group’s financial assets consist of cash and cash equivalents, trade and other receivables, debt and equity securities, other deposits and investments in associates’ preferred shares and promissory notes. The Group’s financial assets are classified into the following categories: investments held at fair value, trade and other receivables and cash and cash equivalents. The Group determines the classification of financial assets at initial recognition depending on the purpose for which the financial assets were acquired.</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Investments held at fair value are non-derivative instruments that are designated in this category or not classified in any other category. These financial assets are initially measured at fair value and subsequently re-measured at fair value at each reporting date. The Company elects if the gain or loss will be recognized in Other Comprehensive Income/(Loss) or through profit and loss on an instrument by instrument basis. Financial assets that are recognized through FVOCI are presented in the Consolidated Statements of Financial Position as non-current assets, unless the Group intends to dispose of them within 12 months after the end of the reporting period. The Company has elected to record the changes in fair values for most financial assets falling under this category through profit and loss. Please refer to Note 5.</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Trade and other receivables are non-derivative financial assets with fixed and determinable payments that are not quoted on active markets. These financial assets are carried at the amounts expected to be received less any allowance for doubtful debts. Provisions are made where there is evidence of a risk of nonpayment, taking into account aging, previous experience and economic conditions. When a trade receivable is determined to be uncollectible, it is written off against the available provision and then to the Consolidated Statements of Comprehensive Income/(Loss). Trade and other receivables are included in current assets, unless maturities are greater than 12 months after the end of the reporting period.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Group’s financial liabilities consist of trade and other payables, subsidiary notes payable, preferred shares, and warrant liability. Warrant liabilities are initially recognized at fair value. After initial recognition, these financial liabilities are re-measured at FVTPL using an appropriate valuation technique. Subsidiary notes payable and subsidiary preferred shares without embedded derivatives are accounted for at amortized cost.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majority of the Group’s subsidiaries have preferred shares and notes payable with embedded derivatives, which are classified as current liabilities.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financial instruments are assessed under IFRS 9 to determine if the instrument qualifies to be accounted for under the FVTPL method. When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Group has preferred shares with embedded derivatives that qualify for bifurcation, the Group has elected to account for the entire instrument as FVTPL.</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derecognizes a financial liability when its contractual obligations are discharged, cancelled or expire.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Instruments Issued by the Group</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Financial instruments issued by the Group are treated as equity only to the extent that they meet the following two conditions, in accordance with IAS 32:</w:t>
      </w:r>
    </w:p>
    <w:p>
      <w:pPr>
        <w:spacing w:after="0" w:line="76" w:lineRule="exact"/>
        <w:rPr>
          <w:sz w:val="20"/>
          <w:szCs w:val="20"/>
          <w:color w:val="auto"/>
        </w:rPr>
      </w:pPr>
    </w:p>
    <w:p>
      <w:pPr>
        <w:ind w:left="1080" w:right="40" w:hanging="532"/>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They include no contractual obligations upon the Group to deliver cash or other financial assets or to exchange financial assets or financial liabilities with another party under conditions that are potentially unfavorable to the Group; and</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Where the instrument will or may be settled in the Group’s own equity instruments, it is either a non-derivative that includes no obligation to deliver a variable number of the Group’s own equity instruments or is a derivative that will be settled by the Group exchanging a fixed amount of cash or other financial assets for a fixed number of its own equity instruments.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To the extent that this definition is not met, the financial instrument is classified as a financial liability. Where the instrument so classified takes the legal form of the Group’s own shares, the amounts presented in the financial information for share capital and merger reserve account exclude amounts in relation to those shares.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Group subsequently measures all equity investments at fair value. Where the Group’s management has elected to present fair value gains and losses on equity investments in other comprehensive income, there is no subsequent reclassification of fair value gains and losses to profit or loss following the derecognition of the investment. Dividends from such investments continue to be recognized in profit or loss as other income when the Group’s right to receive payment is established.</w:t>
      </w:r>
    </w:p>
    <w:p>
      <w:pPr>
        <w:spacing w:after="0" w:line="18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Changes in the fair value of financial assets at FVTPL are recognized in other income/(expense) in the Consolidated Statements of Comprehensive Income/(Loss) as applicable. Impairment losses (and reversal of impairment losses) on equity investments measured at FVOCI are not reported separately from other changes in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IFRS 15 establishes principles for reporting useful information to users of financial statements about the nature, amount, timing and uncertainty of revenue and cash flows arising from an entity’s contracts with customers. The standard establishes a five-step principle-based approach for revenue recognition and is based on the concept of recognizing an amount that reflects the consideration for performance obligations only when they are satisfied and the control of goods or services is transferred.</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majority of the Group’s contract revenue is generated from licenses, services, and collaboration arrangements. The Group adopted IFRS 15 with effect from January 1, 2018 using the Modified Retrospective approach. The adoption of this standard did not have an impact to the consolidated results.</w:t>
      </w:r>
    </w:p>
    <w:p>
      <w:pPr>
        <w:spacing w:after="0" w:line="12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Management reviewed contracts where the Group received consideration in order to determine whether or not they should be accounted for in accordance with IFRS 15. To date, PureTech has entered into transactions that generate revenue and meet the scope of either IFRS 15 or IAS 20 Accounting for Government Grants. Contract revenue is recognized at either a point-in-time or over time, depending on the nature of the services and existence of acceptance clauses.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Revenue generated by collaboration and service agreements is accounted for under IFRS 15. The Group accounts for agreements that meet the definition of IFRS 15 by applying the following five step model:</w:t>
      </w:r>
    </w:p>
    <w:p>
      <w:pPr>
        <w:spacing w:after="0" w:line="76" w:lineRule="exact"/>
        <w:rPr>
          <w:sz w:val="20"/>
          <w:szCs w:val="20"/>
          <w:color w:val="auto"/>
        </w:rPr>
      </w:pPr>
    </w:p>
    <w:p>
      <w:pPr>
        <w:ind w:left="1080" w:right="80" w:hanging="424"/>
        <w:spacing w:after="0" w:line="25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Identify the contract(s) with a customer—A contract with a customer exists when (i) the Group enters into an enforceable contract with a customer that defines each party’s rights regarding the goods or services to be transferred and identifies the payment terms related to those goods or services, (ii) the contract has commercial substance and, (iii) the Group determines that collection of substantially all consideration for goods or services that are transferred is probable based on the customer’s intent and ability to pay the promised consideration.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301" w:lineRule="auto"/>
        <w:tabs>
          <w:tab w:leader="none" w:pos="10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contract—Performance obligations promised in a contract are identified based on the goods or services that will be transferred to the customer that are both capable of being distinct, whereby the customer can benefit from the good or service either on its own or together with other resources that are readily available from third parties or from the Group, and are distinct in the context of the contract, whereby the transfer of the goods or services is separately identifiable from other promises in the contract.</w:t>
      </w:r>
    </w:p>
    <w:p>
      <w:pPr>
        <w:spacing w:after="0" w:line="62" w:lineRule="exact"/>
        <w:rPr>
          <w:rFonts w:ascii="Arial" w:cs="Arial" w:eastAsia="Arial" w:hAnsi="Arial"/>
          <w:sz w:val="16"/>
          <w:szCs w:val="16"/>
          <w:color w:val="auto"/>
        </w:rPr>
      </w:pPr>
    </w:p>
    <w:p>
      <w:pPr>
        <w:ind w:left="1080" w:right="20" w:hanging="424"/>
        <w:spacing w:after="0" w:line="293" w:lineRule="auto"/>
        <w:tabs>
          <w:tab w:leader="none" w:pos="10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Determine the transaction price—The transaction price is determined based on the consideration to which the Group will be entitled in exchange for transferring goods or services to the customer. To the extent the transaction price includes variable consideration, the Group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Group’s judgement, it is probable that a significant future reversal of cumulative revenue under the contract will not occur. Determining the transaction price requires significant judgement, which is discussed by revenue category in further detail below.</w:t>
      </w:r>
    </w:p>
    <w:p>
      <w:pPr>
        <w:spacing w:after="0" w:line="69" w:lineRule="exact"/>
        <w:rPr>
          <w:rFonts w:ascii="Arial" w:cs="Arial" w:eastAsia="Arial" w:hAnsi="Arial"/>
          <w:sz w:val="16"/>
          <w:szCs w:val="16"/>
          <w:color w:val="auto"/>
        </w:rPr>
      </w:pPr>
    </w:p>
    <w:p>
      <w:pPr>
        <w:ind w:left="1080" w:hanging="424"/>
        <w:spacing w:after="0" w:line="271" w:lineRule="auto"/>
        <w:tabs>
          <w:tab w:leader="none" w:pos="10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good or service that forms part of a single performance obligation. The Group determines standalone selling price based on the price at which the performance obligation is sold separately. If the standalone selling price is not observable through past transactions, the Group estimates the standalone selling price taking into account available information such as market conditions and internally approved pricing guidelines related to the performance obligations.</w:t>
      </w:r>
    </w:p>
    <w:p>
      <w:pPr>
        <w:spacing w:after="0" w:line="83"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Recognize revenue when (or as) the Group satisfies a performance obligation—The Group satisfies performance obligations either over time or at a point in time as discussed in further detail below. Revenue is recognized at the time the related performance obligation is satisfied by transferring a promised good or service to a customer.</w:t>
      </w:r>
    </w:p>
    <w:p>
      <w:pPr>
        <w:spacing w:after="0" w:line="18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Revenue generated from services agreements (typically where licenses and related services were combined into one performance obligation) is determined to be recognized over time when it can be determined that the services meet one of the following: (a) the customer simultaneously receives and consumes the benefits provided by the entity’s performance as the entity performs; (b) the entity’s performance creates or enhances an asset that the customer controls as the asset is created or enhanced; or (c) the entity’s performance does not create an asset with an alternative use to the entity and the entity has an enforceable right to payment for performance completed to date.</w:t>
      </w:r>
    </w:p>
    <w:p>
      <w:pPr>
        <w:spacing w:after="0" w:line="176"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It was determined that the Group has contracts that meet criteria (a), since the customer simultaneously receives and consumes the benefits provided by the Company’s performance as the Company performs as well as one contract that meets criteria (b) above. Therefore revenue is recognized over time using the input method based on labor hours, laboratory expenses and supplies.</w:t>
      </w:r>
    </w:p>
    <w:p>
      <w:pPr>
        <w:spacing w:after="0" w:line="184"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For cases where the entity does not have an enforceable right to payment due to acceptance clauses, it was determined that costs incurred to fulfill the services are to be capitalized until acceptance is received for the milestone. This resulted in PureTech capitalizing service-related expenses as of December 31, 2017 and recognizing the consideration as revenue once acceptance was received during 2018.</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recognizes grants from governmental agencies as grant income in the Consolidated Statement of Comprehensive Income/(Loss), gross of the expenditures that were related to obtaining the grant, when there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reasonable assurance that the Company will comply with the conditions within the grant agreement and there is reasonable assurance that payments under the grants will be received. The Company evaluates the conditions of each grant as of each reporting date to ensure that the Company has reasonable assurance of meeting the conditions of each grant arrangement and it is expected that the grant payment will be received as a result of meeting the necessary conditions.</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Company submits qualifying expenses for reimbursement for certain expenses after the Company has incurred the research and development expense. The Company records an unbilled receivable upon incurring such expenses. Grant income is recognized in the Consolidated Statements of Comprehensive Income/(Loss) over the periods in which the Company recognizes the related reimbursable expense for which the grant is intended to compensate.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These consolidated financial statements are presented in United States dollars (“U.S. dollars”). The functional currency of virtually all members of the Group is the U.S. dollar. The assets and liabilities of a previously held subsidiary were translated to U.S. dollars at the exchange rate prevailing on the balance sheet date and revenues and expenses were translated at the average exchange rate for the period. Foreign exchange differences resulting from the translation of this subsidiary were reported in the Consolidated Statements of Comprehensive Income/(Loss) in Other Comprehensive Income/(Loss).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Transactions in foreign currencies are translated to the respective functional currencies of Group entities at the foreign exchange rate ruling at the date of the transaction. Monetary assets and liabilities denominated in foreign currencies at the balance sheet date are retranslated to the functional currency at the foreign exchange rate ruling at that date. Foreign exchange differences arising on remeasurement are recognized in the Consolidated Statement of Comprehensive Income/(Loss) except for differences arising on the retranslation of a financial liability designated as a hedge of the net investment in a foreign operation that is effective, or qualifying cash flow hedges, which are recognized directly in other comprehensive income. Non-monetary assets and liabilities that are measured in terms of historical cost in a foreign currency are translated using the exchange rate at the date of the transaction. Non-monetary assets and liabilities denominated in foreign currencies that are stated at fair value are retranslated to the functional currency at foreign exchange rates ruling at the dates the fair value was determined.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include all highly liquid instruments with original maturities of three months or less.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Ordinary shares are classified as equity. The Group is comprised of share capital, share premium, merger reserve, other reserve, translation reserve, and accumulated deficit.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Property and equipment is stated at cost less accumulated depreciation and any accumulated impairment losses. Cost includes expenditures that are directly attributable to the acquisition of the asset. Assets under construction represent leasehold improvements and machinery and equipment to be used in operations or research and development activities. When parts of an item of property and equipment have different useful lives, they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accounted for as separate items (major components) of property and equipment. Depreciation is calculated using the straight-line method over the estimated useful life of the related asset: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100" w:type="dxa"/>
            <w:vAlign w:val="bottom"/>
          </w:tcPr>
          <w:p>
            <w:pPr>
              <w:ind w:left="980"/>
              <w:spacing w:after="0"/>
              <w:rPr>
                <w:sz w:val="20"/>
                <w:szCs w:val="20"/>
                <w:color w:val="auto"/>
              </w:rPr>
            </w:pPr>
            <w:r>
              <w:rPr>
                <w:rFonts w:ascii="Arial" w:cs="Arial" w:eastAsia="Arial" w:hAnsi="Arial"/>
                <w:sz w:val="18"/>
                <w:szCs w:val="18"/>
                <w:color w:val="auto"/>
                <w:w w:val="99"/>
              </w:rPr>
              <w:t>2</w:t>
            </w:r>
          </w:p>
        </w:tc>
        <w:tc>
          <w:tcPr>
            <w:tcW w:w="4000" w:type="dxa"/>
            <w:vAlign w:val="bottom"/>
          </w:tcPr>
          <w:p>
            <w:pPr>
              <w:ind w:left="20"/>
              <w:spacing w:after="0"/>
              <w:rPr>
                <w:sz w:val="20"/>
                <w:szCs w:val="20"/>
                <w:color w:val="auto"/>
              </w:rPr>
            </w:pPr>
            <w:r>
              <w:rPr>
                <w:rFonts w:ascii="Arial" w:cs="Arial" w:eastAsia="Arial" w:hAnsi="Arial"/>
                <w:sz w:val="18"/>
                <w:szCs w:val="18"/>
                <w:color w:val="auto"/>
              </w:rPr>
              <w:t>- 8 years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100" w:type="dxa"/>
            <w:vAlign w:val="bottom"/>
            <w:gridSpan w:val="2"/>
          </w:tcPr>
          <w:p>
            <w:pPr>
              <w:ind w:left="980"/>
              <w:spacing w:after="0"/>
              <w:rPr>
                <w:sz w:val="20"/>
                <w:szCs w:val="20"/>
                <w:color w:val="auto"/>
              </w:rPr>
            </w:pPr>
            <w:r>
              <w:rPr>
                <w:rFonts w:ascii="Arial" w:cs="Arial" w:eastAsia="Arial" w:hAnsi="Arial"/>
                <w:sz w:val="18"/>
                <w:szCs w:val="18"/>
                <w:color w:val="auto"/>
              </w:rPr>
              <w:t>7 years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00" w:type="dxa"/>
            <w:vAlign w:val="bottom"/>
          </w:tcPr>
          <w:p>
            <w:pPr>
              <w:ind w:left="980"/>
              <w:spacing w:after="0"/>
              <w:rPr>
                <w:sz w:val="20"/>
                <w:szCs w:val="20"/>
                <w:color w:val="auto"/>
              </w:rPr>
            </w:pPr>
            <w:r>
              <w:rPr>
                <w:rFonts w:ascii="Arial" w:cs="Arial" w:eastAsia="Arial" w:hAnsi="Arial"/>
                <w:sz w:val="18"/>
                <w:szCs w:val="18"/>
                <w:color w:val="auto"/>
                <w:w w:val="99"/>
              </w:rPr>
              <w:t>1</w:t>
            </w:r>
          </w:p>
        </w:tc>
        <w:tc>
          <w:tcPr>
            <w:tcW w:w="400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Pr>
          <w:p>
            <w:pPr>
              <w:ind w:left="980"/>
              <w:spacing w:after="0"/>
              <w:rPr>
                <w:sz w:val="20"/>
                <w:szCs w:val="20"/>
                <w:color w:val="auto"/>
              </w:rPr>
            </w:pPr>
            <w:r>
              <w:rPr>
                <w:rFonts w:ascii="Arial" w:cs="Arial" w:eastAsia="Arial" w:hAnsi="Arial"/>
                <w:sz w:val="18"/>
                <w:szCs w:val="18"/>
                <w:color w:val="auto"/>
                <w:w w:val="99"/>
              </w:rPr>
              <w:t>5</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- 10 years, or the remaining term of the lease, if shorter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methods, useful lives and residual values are reviewed at each balance sheet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Intangible assets, which include purchased patents and licenses with finite useful lives, are carried at historical cost less accumulated amortization, if amortization has commenced, and impairment losses. Intangible assets with finite lives are amortized from the time they are available for use. Amortization is calculated using the straight-line method to allocate the costs of patents and licenses over their estimated useful lives, which is typically the remaining life of the underlying patents.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Research and development intangible assets, which are still under development and have accordingly not yet obtained marketing approval, are presented as In-Process Research and Development (IPR&amp;D). IPR&amp;D is not amortized since it is not yet available for its intended use, but it is evaluated for potential impairment on an annual basis or more frequently when facts and circumstances warrant.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Non-Financial Assets</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Group reviews the carrying amounts of its property and equipment and intangible assets at each reporting date to determine whether there are indicators of impairment. If any such indicators of impairment exist, then an asset’s recoverable amount is estimated. The recoverable amount is the higher of an asset’s fair value less cost of disposal and value in use.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IPR&amp;D intangible assets are not yet available for their intended use. As such, they are to be tested for impairment at least annually.</w:t>
      </w:r>
    </w:p>
    <w:p>
      <w:pPr>
        <w:spacing w:after="0" w:line="24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 impairment loss is recognized when an asset’s carrying amount exceeds its recoverable amount. For the purposes of impairment testing, assets are grouped at the lowest levels for which there are largely independent cash flows. If a non- financial asset instrument is impaired, an impairment loss is recognized in the Consolidated Statements of Comprehensive Income/(Loss).</w:t>
      </w:r>
    </w:p>
    <w:p>
      <w:pPr>
        <w:spacing w:after="0" w:line="184"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Investments in associates are considered impaired if, and only if, objective evidence indicates that one or more events, which occurred after the initial recognition, have had an impact on the future cash flows from the net investment and that impact can be reliably estimated. If an impairment exists the Company measures an impairment by comparing the carrying value of the net investment in the associate to its recoverable amount and recording any excess as an impairment loss. See Note 6 for impairment recorded in respect of investment in associate.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Financial Assets Carried at Fair Value</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Group’s financial assets are carried at fair value through Other Comprehensive Income/(Loss) or through profit and loss, depending on the election taken for each instrument. Financial assets that carried at fair value through Other Comprehensive Income/(Loss) are reviewed at each reporting period to assess whether there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objective evidence that the assets should be impaired. An impairment loss is recognized when there is a significant or prolonged decline in fair value below the instrument’s cost. If an instrument is impaired, the impairment loss is calculated and recognized in the Consolidated Statements of Comprehensive Income/(Loss).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Financial Assets Measured at Amortized Cost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assesses financial assets measured at amortized cost for impairment at each reporting period. These financial assets are impaired if one or more loss events occur after initial recognition that impact the estimated future cash flows of the asset. An impairment loss is calculated as the difference between its carrying amount and the present value of the estimated future cash flows discounted at the asset’s original effective interest rate and is recognized in the Consolidated Statements of Comprehensive Income/(Loss).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Employee Benefits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Short-term employee benefit obligations are measured on an undiscounted basis and expensed as the related service is provided. A liability is recognized for the amount expected to be paid if the Group has a present legal or constructive obligation due to past service provided by the employee, and the obligation can be estimated reliably.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has no legal or constructive obligation to pay further amounts. Obligations for contributions to defined contribution plans are recognized as an employee benefit expense in the periods during which related services are rendered by employees. Prepaid contributions are recognized as an asset to the extent that a cash refund or a reduction in future payments is available.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Share-based payment arrangements, in which the Group receives goods or services as consideration for its own equity instruments, are accounted for as equity-settled share-based payment transactions in accordance with IFRS 2, regardless of how the equity instruments are obtained by the Group. The grant date fair value of employee share-based payment awards is recognized as an expense with a corresponding increase in equity over the period that the employee is unconditionally entitled to the awards. The fair value is measured using an option pricing model, which takes into account the terms and conditions of the options granted. The amount recognized as an expense is adjusted to reflect the actual number of awards for which the related service and non-market vesting conditions are expected to be met, such that the amount ultimately recognized as an expense is based on the number of awards that do meet the related service and non-market performance conditions at the vesting date. For share-based payment awards with non-vesting and non-market performance conditions, the grant date fair value is measured to reflect such conditions and there is no true-up for differences between expected and actual outcomes.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1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Expenditures on research activities are recognized as incurred in the Consolidated Statements of Comprehensive Income/ (Loss). In accordance with IAS 38 development costs are capitalized only if the expenditure can be measured reliably, the product or process is technically and commercially feasible, future economic benefits are probable, the Group intends to and has sufficient resources to complete development and to use or sell the asset, and it is able to measure reliably the expenditure attributable to the intangible asset during its development. The point at which technical feasibility is determined to have been reached is when regulatory approval has been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received where applicable. Management determines that commercial viability has been reached when a clear market and pricing point have been identified, which may coincide with achieving recurring sales. Otherwise, the development expenditure is recognized as incurred in the Consolidated Statements of Comprehensive Income/(Loss). As of balance sheet date the Group has not capitalized any development costs.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A provision is recognized in the Consolidated Statements of Financial Position when the Group has a present legal or constructive obligation due to a past event that can be reliably measured, and it is probable that an outflow of economic benefits will be required to settle the obligation. Provisions are determined by discounting the expected future cash flows at a pre-tax rate that reflects risks specific to the liability.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January 1, 2019, the Group adopted a new accounting standard for leases. The Group leases real estate and equipment for use in operations. These leases generally have lease terms of 1 to 10 years. We include options that are reasonably certain to be exercised as part of the determination of the lease term. We determine if an arrangement is a lease at inception of the contract in accordance with guidance detailed in the new standard and we perform the lease classification test as of the lease commencement date. ROU assets represent the Group’s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the Group’s estimated incremental borrowing rate based on information available at commencement date in determining the present value of future payments.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operating leases impacted by IFRS 16 principally include leases from real estate.</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Existing finance leases continue to be treated as finance leases. For existing operating leases, the Group has applied a modified retrospective approach by measuring the right-of-use asset at an amount equal to the lease liability at the date of transition and therefore comparative information was not restated. Upon transition, the Group has applied the following practical expedients:</w:t>
      </w:r>
    </w:p>
    <w:p>
      <w:pPr>
        <w:spacing w:after="0" w:line="89" w:lineRule="exact"/>
        <w:rPr>
          <w:sz w:val="20"/>
          <w:szCs w:val="20"/>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excluding initial direct costs from the right-of-use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using hindsight when assessing the lease term;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 reassessing whether a contract is or contains a lease;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 separating the lease components from the non-lease components in lease contracts.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elected to account for lease payments as an expense on a straight-line basis over the life of the lease for:</w:t>
      </w:r>
    </w:p>
    <w:p>
      <w:pPr>
        <w:spacing w:after="0" w:line="131"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Leases with a term of 12 months or less and containing no purchase options;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Leases where the underlying asset has a value of less than $5,000.</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lease liability was initially measured at the present value of the lease payments that were not paid at the transition date, discounted by using the rate implicit in the lease, or if that rate was not readily determinable, the Group used its incremental borrowing rate. The right-of-use asset is depreciated on a straight-line basis and the lease liability will give rise to an interest charge.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impact of adopting IFRS 16 on the Group was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January 1, 2019</w:t>
            </w:r>
          </w:p>
        </w:tc>
      </w:tr>
      <w:tr>
        <w:trPr>
          <w:trHeight w:val="171"/>
        </w:trPr>
        <w:tc>
          <w:tcPr>
            <w:tcW w:w="63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$000’s</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Lease liability</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10,995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(999)</w:t>
            </w:r>
          </w:p>
        </w:tc>
      </w:tr>
    </w:tbl>
    <w:p>
      <w:pPr>
        <w:spacing w:after="0" w:line="20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cumulative impact resulted mainly from lease term extensions under IFRS 16 offset by the exclusion of short term leases and leases of low value assets.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January and April 2019, the Company entered into additional leases that added substantially more right of use assets and lease liabilities to the statement of financial position. This includes three different spaces for the Company and its consolidated subsidiaries, amounting to approximately $42 million of additional future lease commitments. In June and August 2019, the Company entered into two sublease agreements. Further information regarding the subleases, right of use asset and lease liability can be found in Note 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Finance Costs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Finance income is comprised of interest income on funds invested in U.S. treasuries, which is recognized as it accrues in the Consolidated Statements of Comprehensive Income/(Loss) via the effective interest method. Finance costs comprise loan interest expenses and the changes in the fair value of warrant and derivative liabilities associated with financing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Tax on the profit or loss for the year comprises current and deferred income tax. In accordance with IAS 12, tax is recognized in the Consolidated Statements of Comprehensive Income/(Loss) except to the extent that it relates to items recognized directly in equity.</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the years ended December 31, 2019 and 2018, the Group filed a consolidated U.S. income tax return which included all subsidiaries in which the Company owned greater than 80.0 percent of the vote and value. For the years ended December 31, 2019 and 2018, the Group filed certain consolidated state income tax returns which included all subsidiaries in which the Company owned greater than 50.0 percent of the vote and value. The remaining subsidiaries file separate U.S. tax returns.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Current income tax is the expected tax payable or receivable on the taxable income or loss for the year, using tax rates enacted or substantially enacted at the reporting date, and any adjustment to tax payable in respect of previous years.</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are reviewed at each reporting date and are reduced to the extent that it is no longer probable that the related tax benefit will be realized.</w:t>
      </w:r>
    </w:p>
    <w:p>
      <w:pPr>
        <w:spacing w:after="0" w:line="17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Deferred tax is measured at the tax rates that are expected to be applied to temporary differences when they reverse, using tax rates enacted or substantively enacted at the reporting date.</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Deferred taxes are recognized in Consolidated Statements of Comprehensive Income/(Loss) except to the extent that they relate to items recognized directly in equity or in other comprehensive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 and Deferred Costs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Deferred revenue includes amounts that are receivable or have been received per contractual terms but have not been recognized as revenue since performance has not yet occurred or has not yet been completed. Deferred costs represent costs to fulfill a contract and include capitalized labor and research and development expenditures. The Company classifies non-current deferred revenue and deferred costs for any transaction which is expected to be recognized beyond one year or one operating cycle.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accounting policies require that its financial and non-financial assets and liabilities be measured at their fair value.</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 Fair values are categorized into different levels in a fair value hierarchy based on the inputs used in the valuation techniques as follows:</w:t>
      </w:r>
    </w:p>
    <w:p>
      <w:pPr>
        <w:spacing w:after="0" w:line="89" w:lineRule="exact"/>
        <w:rPr>
          <w:sz w:val="20"/>
          <w:szCs w:val="20"/>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recognizes transfers between levels of the fair value hierarchy at the end of the reporting period during which the change has occurred.</w:t>
      </w:r>
    </w:p>
    <w:p>
      <w:pPr>
        <w:spacing w:after="0" w:line="248"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carrying amount of cash and cash equivalents, accounts receivable, short-term investments, restricted cash, deposits, accounts payable, accrued expenses and other current liabilities in the Group’s Consolidated Statements of Financial Position approximates their fair value because of the short maturities of these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Operating segments are reported in a manner that is consistent with the internal reporting provided to the chief operating decision maker (“CODM”). The CODM reviews discrete financial information for the operating segments in order to assess their performance and is responsible for making decisions about resources allocated to the segments. The CODM has been identified as the Group’s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Period Reclassification</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During 2019 management identified that for the year ended December 31, 2018, Gain/(loss) on investments held at fair value of $14.3 million was incorrectly classified as Finance costs—subsidiary preferred shares. As a result, a prior year reclassification has been made in the Consolidated Statement of Comprehensive Income/(Loss) for the year ended December 31,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New Standards and Interpretations Not Yet Adopted</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number of new standards, interpretations, and amendments to existing standards are effective for annual periods commencing on or after January 1, 2020 and have not been applied in preparing the consolidated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00"/>
          </w:cols>
          <w:pgMar w:left="320" w:top="459" w:right="5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information. The Company’s assessment of the impact of these new standards and interpretations is set out below.</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Effective January 1, 2020 the definition of a “business” has been amended as an amendment to IFRS 3 Business Combinations. The amendments include an election to use a concentration test. This is a simplified assessment that results in an asset acquisition if substantially all of the fair value of the gross assets is concentrated in a single identifiable asset or a group of similar identifiable assets. If an entity chooses not to apply the concentration test, or fails the test, then the assessment focuses on the existence of an input and a substantive process applied to the input/s. These amendments are not expected to have an impact on the Company’s financial statements.</w:t>
      </w:r>
    </w:p>
    <w:p>
      <w:pPr>
        <w:spacing w:after="0" w:line="17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As part of its amendments to IAS 1 and IAS 8, the IASB has refined its definition of ‘material’ and issued practical guidance on applying the concept of materiality. These amendments are effective January 1, 2020 and are not expected to have an impact on the Company’s financial statements.</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None of the other new standards, interpretations, and amendments are applicable to the Company’s financial statements and therefore will not have an impact on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recorded in the Consolidated Statement of Comprehensive Income/(Loss) consists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For the years ended December 31,</w:t>
            </w: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color w:val="auto"/>
              </w:rPr>
              <w:t>2018</w:t>
            </w:r>
          </w:p>
        </w:tc>
        <w:tc>
          <w:tcPr>
            <w:tcW w:w="34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gridSpan w:val="3"/>
            <w:vMerge w:val="continue"/>
          </w:tcPr>
          <w:p>
            <w:pPr>
              <w:spacing w:after="0"/>
              <w:rPr>
                <w:sz w:val="13"/>
                <w:szCs w:val="13"/>
                <w:color w:val="auto"/>
              </w:rPr>
            </w:pPr>
          </w:p>
        </w:tc>
        <w:tc>
          <w:tcPr>
            <w:tcW w:w="8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color w:val="auto"/>
                <w:w w:val="94"/>
              </w:rPr>
              <w:t>$000s</w:t>
            </w:r>
          </w:p>
        </w:tc>
        <w:tc>
          <w:tcPr>
            <w:tcW w:w="56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Contract revenue (IAS 18 for 2017 and IFRS 15 for 2018 and 2019)</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8,688</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16,371</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Grant income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4,377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recorded in contract revenue were generated in the United States.</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Group adopted IFRS 15 effective 1 January 2018, using the modified retrospective method and has only applied this method to contracts that were not completed as of the effective date and all new contracts initiated on or after the effective date. Results for reporting periods beginning on or after January 1, 2018 are presented under IFRS 15, while prior period amounts have not been restated and continue to be recorded in accordance with the governing revenue recognition standard applicable to that period.</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All of the Company’s contracts as of December 31, 2019 and 2018 were determined to have a single performance obligation which consists of a combined deliverable of license to intellectual property and research and development services. Therefore revenue is recognized over time based on the inputs method which is a faithful depiction of the transfer of goods and services. Progress is measured based on costs incurred to date as compared to total projected costs.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Group disaggregates contract revenue for reporting periods beginning on or after January 1, 2018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80" w:type="dxa"/>
            <w:vAlign w:val="bottom"/>
            <w:vMerge w:val="restart"/>
          </w:tcPr>
          <w:p>
            <w:pPr>
              <w:spacing w:after="0"/>
              <w:rPr>
                <w:sz w:val="20"/>
                <w:szCs w:val="20"/>
                <w:color w:val="auto"/>
              </w:rPr>
            </w:pPr>
            <w:r>
              <w:rPr>
                <w:rFonts w:ascii="Arial" w:cs="Arial" w:eastAsia="Arial" w:hAnsi="Arial"/>
                <w:sz w:val="14"/>
                <w:szCs w:val="14"/>
                <w:color w:val="auto"/>
                <w:w w:val="95"/>
              </w:rPr>
              <w:t>Timing of revenue recognition *</w:t>
            </w:r>
          </w:p>
        </w:tc>
        <w:tc>
          <w:tcPr>
            <w:tcW w:w="4880" w:type="dxa"/>
            <w:vAlign w:val="bottom"/>
            <w:gridSpan w:val="2"/>
            <w:vMerge w:val="restart"/>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4880" w:type="dxa"/>
            <w:vAlign w:val="bottom"/>
            <w:gridSpan w:val="2"/>
            <w:vMerge w:val="continue"/>
          </w:tcPr>
          <w:p>
            <w:pPr>
              <w:spacing w:after="0"/>
              <w:rPr>
                <w:sz w:val="15"/>
                <w:szCs w:val="15"/>
                <w:color w:val="auto"/>
              </w:rPr>
            </w:pPr>
          </w:p>
        </w:tc>
        <w:tc>
          <w:tcPr>
            <w:tcW w:w="92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$000s</w:t>
            </w:r>
          </w:p>
        </w:tc>
        <w:tc>
          <w:tcPr>
            <w:tcW w:w="680" w:type="dxa"/>
            <w:vAlign w:val="bottom"/>
            <w:gridSpan w:val="3"/>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Transferred at a point in time</w:t>
            </w:r>
          </w:p>
        </w:tc>
        <w:tc>
          <w:tcPr>
            <w:tcW w:w="54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13,415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Transferred over time</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8"/>
              </w:rPr>
              <w:t>8,688</w:t>
            </w:r>
          </w:p>
        </w:tc>
        <w:tc>
          <w:tcPr>
            <w:tcW w:w="3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8,688</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376"/>
        </w:trPr>
        <w:tc>
          <w:tcPr>
            <w:tcW w:w="6760" w:type="dxa"/>
            <w:vAlign w:val="bottom"/>
            <w:gridSpan w:val="3"/>
            <w:vMerge w:val="restart"/>
          </w:tcPr>
          <w:p>
            <w:pPr>
              <w:spacing w:after="0"/>
              <w:rPr>
                <w:sz w:val="20"/>
                <w:szCs w:val="20"/>
                <w:color w:val="auto"/>
              </w:rPr>
            </w:pPr>
            <w:r>
              <w:rPr>
                <w:rFonts w:ascii="Arial" w:cs="Arial" w:eastAsia="Arial" w:hAnsi="Arial"/>
                <w:sz w:val="14"/>
                <w:szCs w:val="14"/>
                <w:color w:val="auto"/>
              </w:rPr>
              <w:t>Customers over 10% of revenue*</w:t>
            </w:r>
          </w:p>
        </w:tc>
        <w:tc>
          <w:tcPr>
            <w:tcW w:w="5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color w:val="auto"/>
              </w:rPr>
              <w:t>2018</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760" w:type="dxa"/>
            <w:vAlign w:val="bottom"/>
            <w:gridSpan w:val="3"/>
            <w:vMerge w:val="continue"/>
          </w:tcPr>
          <w:p>
            <w:pPr>
              <w:spacing w:after="0"/>
              <w:rPr>
                <w:sz w:val="15"/>
                <w:szCs w:val="15"/>
                <w:color w:val="auto"/>
              </w:rPr>
            </w:pPr>
          </w:p>
        </w:tc>
        <w:tc>
          <w:tcPr>
            <w:tcW w:w="92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$000s</w:t>
            </w:r>
          </w:p>
        </w:tc>
        <w:tc>
          <w:tcPr>
            <w:tcW w:w="680" w:type="dxa"/>
            <w:vAlign w:val="bottom"/>
            <w:gridSpan w:val="3"/>
          </w:tcPr>
          <w:p>
            <w:pPr>
              <w:jc w:val="center"/>
              <w:ind w:right="10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19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Janssen Biotech, Inc.</w:t>
            </w:r>
          </w:p>
        </w:tc>
        <w:tc>
          <w:tcPr>
            <w:tcW w:w="48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BMEB Services LLC</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Roche Holding AG</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8"/>
              </w:rPr>
              <w:t>4,973</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rPr>
              <w:t>Eli Lilly and Company</w:t>
            </w:r>
          </w:p>
        </w:tc>
        <w:tc>
          <w:tcPr>
            <w:tcW w:w="540" w:type="dxa"/>
            <w:vAlign w:val="bottom"/>
            <w:gridSpan w:val="2"/>
          </w:tcPr>
          <w:p>
            <w:pPr>
              <w:ind w:left="120"/>
              <w:spacing w:after="0"/>
              <w:rPr>
                <w:sz w:val="20"/>
                <w:szCs w:val="20"/>
                <w:color w:val="auto"/>
              </w:rPr>
            </w:pPr>
            <w:r>
              <w:rPr>
                <w:rFonts w:ascii="Arial" w:cs="Arial" w:eastAsia="Arial" w:hAnsi="Arial"/>
                <w:sz w:val="18"/>
                <w:szCs w:val="18"/>
                <w:b w:val="1"/>
                <w:bCs w:val="1"/>
                <w:color w:val="auto"/>
                <w:w w:val="88"/>
              </w:rPr>
              <w:t>1,433</w:t>
            </w:r>
          </w:p>
        </w:tc>
        <w:tc>
          <w:tcPr>
            <w:tcW w:w="380" w:type="dxa"/>
            <w:vAlign w:val="bottom"/>
          </w:tcPr>
          <w:p>
            <w:pPr>
              <w:spacing w:after="0"/>
              <w:rPr>
                <w:sz w:val="18"/>
                <w:szCs w:val="18"/>
                <w:color w:val="auto"/>
              </w:rPr>
            </w:pPr>
          </w:p>
        </w:tc>
        <w:tc>
          <w:tcPr>
            <w:tcW w:w="6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Boehringer Ingelheim International GMBH</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8"/>
              </w:rPr>
              <w:t>1,091</w:t>
            </w:r>
          </w:p>
        </w:tc>
        <w:tc>
          <w:tcPr>
            <w:tcW w:w="3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Imbrium Therapeutics L.P.</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84"/>
              </w:rPr>
              <w:t>1,013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4"/>
              </w:rPr>
              <w:t>8,510</w:t>
            </w:r>
          </w:p>
        </w:tc>
        <w:tc>
          <w:tcPr>
            <w:tcW w:w="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Required disclosure under IFRS 15 (not applicable to 2017)</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An estimation uncertainty arises due to management’s application of the inputs method in recognizing revenue overtime. In doing so, the total cost to satisfy the performance obligation includes a significant estimate by management in its budgets and projected cash flows. The sensitivity of this calculation for the years ended December 31, 2019 and 2018 is detailed below:</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For the year ended December 31, 2019</w:t>
            </w:r>
          </w:p>
        </w:tc>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Budgeted costs to complete</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(951)</w:t>
            </w:r>
          </w:p>
        </w:tc>
        <w:tc>
          <w:tcPr>
            <w:tcW w:w="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w:t>
            </w:r>
          </w:p>
        </w:tc>
        <w:tc>
          <w:tcPr>
            <w:tcW w:w="280" w:type="dxa"/>
            <w:vAlign w:val="bottom"/>
          </w:tcPr>
          <w:p>
            <w:pPr>
              <w:spacing w:after="0"/>
              <w:rPr>
                <w:sz w:val="19"/>
                <w:szCs w:val="19"/>
                <w:color w:val="auto"/>
              </w:rPr>
            </w:pPr>
          </w:p>
        </w:tc>
      </w:tr>
      <w:tr>
        <w:trPr>
          <w:trHeight w:val="3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For the year ended December 31, 2018</w:t>
            </w: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Budgeted costs to complete</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(265)</w:t>
            </w:r>
          </w:p>
        </w:tc>
        <w:tc>
          <w:tcPr>
            <w:tcW w:w="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Accounts receivables represent rights to consideration in exchange for products or services that have been transferred by the Group, when payment is unconditional and only the passage of time is required before payment is due. Accounts receivables do not bear interest and are recorded at the invoiced amount. Accounts receivable are included within Trade and other receivables on the Consolidated Statement of Financial Position.</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Contract liabilities represent the Group’s obligation to transfer products or services to a customer for which consideration has been received, or for which an amount of consideration is due from the customer. When applicable, contract assets and liabilities are reported on a net basis at the contract level, depending on the contracts position at the end of each reporting period. Contract liabilities are included within deferred revenue on the Consolidated Statement of Financial Position.</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color w:val="auto"/>
                <w:w w:val="93"/>
              </w:rPr>
              <w:t>Contract Balances*</w:t>
            </w:r>
          </w:p>
        </w:tc>
        <w:tc>
          <w:tcPr>
            <w:tcW w:w="5700" w:type="dxa"/>
            <w:vAlign w:val="bottom"/>
            <w:vMerge w:val="restart"/>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9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62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Accounts receivable</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1,699</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Deferred revenue—long term</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1,220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revenue—short term</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5,474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Required disclosure under IFRS 15 (not applicable to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the year ended December 31, 2019, $5.0 million of revenue was recognized on deferred revenue outstanding at December 31, 2018.</w:t>
      </w:r>
    </w:p>
    <w:p>
      <w:pPr>
        <w:spacing w:after="0" w:line="23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Remaining performance obligations represent the transaction price of unsatisfied or partially satisfied performance obligations within contracts with an original expected contract term that is greater than one year and for which fulfillment of the contract has started as of the end of the reporting period. The aggregate amount of transaction consideration allocated to remaining performance obligations as of December 31, 2019 was $7.6 million. The following table summarizes when the Group expects to recognize the remaining performance obligations as revenue. The Group will recognize revenue associated with these performance obligations as transfer of control occurs: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w:t>
            </w:r>
          </w:p>
        </w:tc>
        <w:tc>
          <w:tcPr>
            <w:tcW w:w="19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Greater than</w:t>
            </w: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4"/>
                <w:szCs w:val="14"/>
                <w:b w:val="1"/>
                <w:bCs w:val="1"/>
                <w:color w:val="auto"/>
              </w:rPr>
              <w:t>1 Year</w:t>
            </w:r>
          </w:p>
        </w:tc>
        <w:tc>
          <w:tcPr>
            <w:tcW w:w="5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1 Year</w:t>
            </w: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Performance Obligation*</w:t>
            </w:r>
          </w:p>
        </w:tc>
        <w:tc>
          <w:tcPr>
            <w:tcW w:w="1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6,344</w:t>
            </w:r>
          </w:p>
        </w:tc>
        <w:tc>
          <w:tcPr>
            <w:tcW w:w="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w:t>
            </w: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7,564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00" w:type="dxa"/>
            <w:vAlign w:val="bottom"/>
            <w:gridSpan w:val="2"/>
          </w:tcPr>
          <w:p>
            <w:pPr>
              <w:spacing w:after="0"/>
              <w:rPr>
                <w:sz w:val="20"/>
                <w:szCs w:val="20"/>
                <w:color w:val="auto"/>
              </w:rPr>
            </w:pPr>
            <w:r>
              <w:rPr>
                <w:rFonts w:ascii="Arial" w:cs="Arial" w:eastAsia="Arial" w:hAnsi="Arial"/>
                <w:sz w:val="18"/>
                <w:szCs w:val="18"/>
                <w:color w:val="auto"/>
              </w:rPr>
              <w:t>*  Required disclosure under IFRS 15 (not applicable to 2017)</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to Fulfill a Contract</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Contract fulfillment costs include direct labor for professional services, payments made to third parties for intellectual property licenses and direct materials. Incremental costs incurred to fulfill our contracts are capitalized if these costs (i) relate directly to the contract, (ii) are expected to generate resources that will be used to satisfy the Company’s performance obligation under the contract, and (iii) are expected to be recovered through revenue generated under the contract. The revenue associated with direct labor for professional services is recognized over time; therefore the costs associated are expensed as incurred. The payments made to third parties for intellectual property licenses are capitalized when paid and recognized in line with associated revenue, whether this be over time or at a point in time. As of December 31, 2018, the Group has capitalized $0.8 million of cost to fulfill which are included within Prepaid expenses and other current assets as well as Other non-current assets on the Consolidated Statement of Financial Position. As of December 31, 2019 the remaining unamortized balance was $0.3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Segmentation</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Directors are the Group’s strategic decision-makers. The Group’s operating segments are reported based on the financial information provided to the Directors at least quarterly for the purposes of allocating resources and assessing performance. The Group has determined that each entity is representative of a single operating segment as the Directors monitor the financial results at this level. When identifying the reportable segments the Group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40"/>
          </w:cols>
          <w:pgMar w:left="320" w:top="459" w:right="5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has determined that it is appropriate to aggregate multiple operating segments into a single reportable segment given the high level of operational and financial similarities across the entities. The Group has identified four reportable segments which are outlined below. Substantially, all of the revenue and profit generating activities of the Group are generated within the U.S. and accordingly, no geographical disclosures are provided.</w:t>
      </w:r>
    </w:p>
    <w:p>
      <w:pPr>
        <w:spacing w:after="0" w:line="14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During the year ended December 31, 2019, the Company deconsolidated three of its subsidiaries which resulted in a change to the composition of its reportable segments. The Company has revised the 2018 and 2017 financial information to conform to the presentation as of and for the period ending December 31, 2019. The change in segments reflects how the Company’s Board of Directors reviews the Group’s results, allocates resources and assesses performance. This change has been adjusted in both the current and the prior period in the tables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Internal segment (the “Internal segment”), is advancing a pipeline fuelled by recent discoveries in lymphatics and immune cell trafficking to modulate disease in a tissue-specific manner. These programs leverage the transport and biodistribution of various immune system components for the targeted treatment of diseases with major unmet needs, including cancers, autoimmune diseases, and neuroimmune disorders. The Internal segment is comprised of the technologies that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2019, this segment included PureTech LYT (formerly Ariya Therapeutics) and PureTech LYT 100.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Founded Entities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Controlled Founded Entity segment (the “Controlled Founded Entity segment”) is comprised of the Group’s subsidiaries that are currently consolidated operational subsidiaries that either have, or have plans to hire, independent management teams and currently have already raised, or are currently in the process of raising, third-party dilutive capital. These subsidiaries have active research and development programs and either have entered into or plan to seek a strategic partnership with an equity or debt investment partner, who will provide additional industry knowledge and access to networks, as well as additional funding to continue the pursued growth of the company. As of December 31, 2019, this segment included Alivio Therapeutics, Inc., Commense Inc., Entrega Inc., Follica Incorporated, Sonde Health Inc., and Vedanta Biosciences, Inc.</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Non-Controlled Founded Entities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Non-Controlled Founded Entities segment (the “Non-Controlled Founded Entities segment”) is comprised of the entities in respect of which PureTech Health (i) no longer holds majority voting control as a shareholder and (ii) no longer has the right to elect a majority of the members of the subsidiaries’ Board of Directors. Upon deconsolidation of an entity the segment disclosure is restated to reflect the change on a retrospective basis, as this constitutes a change in the composition of its reportable segments. As of December 31, 2019, the Non-Controlled Founded Entities segment included resTORbio, Inc. (“resTORbio”), Akili Interactive Labs, Inc. (“Akili”), Vor Biopharma Inc. (“Vor”), Karuna Therapeutics, Inc. (“Karuna”), and Gelesis Inc. (“Gelesis”).</w:t>
      </w:r>
    </w:p>
    <w:p>
      <w:pPr>
        <w:spacing w:after="0" w:line="1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Non-Controlled Founded Entities segment incorporates the operational results of the aforementioned entities to the date of deconsolidation. Following the date of deconsolidation, the Company accounts for its investment in each entity at the parent level, and therefore the results associated with investment activity following the date of deconsolidation is included in the Parent Company and Other segment (the “Parent Company and Other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9" w:right="49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Parent Company and Other Segment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Parent Company and Other segment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This segment also captures the accounting for the Company’s holdings in entities for which control has been lost, which is inclusive of the following items: gain on deconsolidation, gain or loss on investments held at fair value, gain on loss of significant influence, and the share of net loss of associates accounted for using the equity method. As of December 31, 2019, this segment included PureTech Health plc, PureTech Health LLC, PureTech Management, Inc. and PureTech Securities Corp., as well as certain other dormant, inactive and shell entities.</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0900"/>
          </w:cols>
          <w:pgMar w:left="320" w:top="459" w:right="6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About Reportable Segments: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Controlled</w:t>
            </w: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Non-</w:t>
            </w:r>
          </w:p>
        </w:tc>
        <w:tc>
          <w:tcPr>
            <w:tcW w:w="92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6"/>
              </w:rPr>
              <w:t>Parent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Controlled</w:t>
            </w:r>
          </w:p>
        </w:tc>
        <w:tc>
          <w:tcPr>
            <w:tcW w:w="9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8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Internal</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Founded</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Founded</w:t>
            </w: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Entities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Entities</w:t>
            </w: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rPr>
              <w:t>&amp; 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$000s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Comprehensive Loss</w:t>
            </w: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Contract revenue</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6,064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8,688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1,119</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6,079</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4"/>
              </w:rPr>
              <w:t>3,591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(2,385)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(14,436)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(10,439)</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(32,098)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(59,358)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(25,977)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(42,780)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(15,555)</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(1,536)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(85,848)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(28,362)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(57,216)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(25,994)</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(33,634)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(145,206)</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deconsolidation</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264,409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264,409</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Gain/(loss) on investments held at fair value</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(37,863)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(37,863)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disposal of assets</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Gain on loss of significant influence</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445,582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445,582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income/(expense)</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other income/(expense)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127</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672,023</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672,167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finance income/(costs)</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(16,947)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(30,141)</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941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(46,147)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 of net income/(loss) of associates accounted for using the equity method</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30,791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30,791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investment in associate</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(42,938)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(42,938)</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Income/(loss) before taxes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(22,266</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(70,445)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(56,135)</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627,320</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Income/(loss) before taxes pre IFRS 9 fair value accounting, finance costs—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subsidiary preferred shares, share-based payment expense, depreciation of</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tangible assets and amortization of intangible assets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(21,889)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(48,996)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(21,873)</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640,298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547,540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Finance income/(costs)—subsidiary preferred shares</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(1,564)</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(1,458)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income/(costs)—IFRS 9 fair value accounting</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(17,294)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(28,737)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(444)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(46,475)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(1,678)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(3,543)</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(9,242)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(14,468)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assets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(376)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(1,114)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(3,228)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(2,177)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(3,320)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Taxation</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(112,113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for the year</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(22,266)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(70,579)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(56,297)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515,207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366,065</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comprehensive income/(loss)</w:t>
            </w: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(22,266)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(70,579)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(56,307)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515,207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366,055</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comprehensive income/(loss) attributable to:</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Owners of the Company</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(7,001)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(54,719)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(32,353)</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515,207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421,134</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(15,265)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(15,860)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(23,954)</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(55,079)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17,614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41,612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881,952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941,178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12,076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132,935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145,768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290,779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Net assets/(liabilities)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5,538</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(91,324)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736,184</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480" w:type="dxa"/>
            <w:vAlign w:val="bottom"/>
          </w:tcPr>
          <w:p>
            <w:pPr>
              <w:ind w:left="5340"/>
              <w:spacing w:after="0"/>
              <w:rPr>
                <w:sz w:val="20"/>
                <w:szCs w:val="20"/>
                <w:color w:val="auto"/>
              </w:rPr>
            </w:pPr>
            <w:r>
              <w:rPr>
                <w:rFonts w:ascii="Arial" w:cs="Arial" w:eastAsia="Arial" w:hAnsi="Arial"/>
                <w:sz w:val="18"/>
                <w:szCs w:val="18"/>
                <w:color w:val="auto"/>
              </w:rPr>
              <w:t>F-29</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Controlled</w:t>
            </w: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Non-</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Parent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Controlled</w:t>
            </w:r>
          </w:p>
        </w:tc>
        <w:tc>
          <w:tcPr>
            <w:tcW w:w="8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8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Internal</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Founded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Founded</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Entities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Entities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&amp; 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$000s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$000s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Statements of Comprehensive Loss</w:t>
            </w: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Contract revenue</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2,110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14,233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18,504</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(47,365)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(8,929)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(36,930)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(29,851)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(1,692)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(77,402)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(10,427)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(47,142)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(20,962)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(124,768)</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deconsolidation</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41,730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41,730</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Gain/(loss) on investments held at fair value</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(34,615)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(34,615)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disposal of assets</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Gain on loss of significant influence</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10,287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income/(expense)</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 income/(expense)</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21,051</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finance income/(costs)</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 of net income/(loss) of associate accounted for using the equity method</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(11,490)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taxes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(8,232)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(23,297)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(40,167)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(68,438)</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color w:val="auto"/>
                <w:w w:val="93"/>
              </w:rPr>
              <w:t>(Loss)/income before taxes pre IFRS 9 fair value accounting, finance costs—subsidiary</w:t>
            </w: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w w:val="92"/>
              </w:rPr>
              <w:t>preferred shares, share-based payment expense, depreciation of tangible assets and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(8,210)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(24,344)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(38,761)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(4,234)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(75,549)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income/(costs)—subsidiary preferred shares</w:t>
            </w:r>
          </w:p>
        </w:tc>
        <w:tc>
          <w:tcPr>
            <w:tcW w:w="8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Finance income/(costs)—IFRS 9 fair value accounting</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5,341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5,516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11,775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Depreciation of tangible assets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Taxation</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Income/(loss) for the year</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(8,454)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(70,659)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 for the year</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(8,454)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(26,420)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(70,899)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comprehensive income/(loss) attributable to:</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Owners of the Company</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(32,260)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(43,894)</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(7,315)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(10,710)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(8,980)</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(27,005)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Financial Position:</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2,984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15,603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35,934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387,240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441,761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13,366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60,992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202,161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274,788</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Net (liabilities)/assets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(45,389)</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(166,227)</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388,970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480" w:type="dxa"/>
            <w:vAlign w:val="bottom"/>
          </w:tcPr>
          <w:p>
            <w:pPr>
              <w:ind w:left="5340"/>
              <w:spacing w:after="0"/>
              <w:rPr>
                <w:sz w:val="20"/>
                <w:szCs w:val="20"/>
                <w:color w:val="auto"/>
              </w:rPr>
            </w:pPr>
            <w:r>
              <w:rPr>
                <w:rFonts w:ascii="Arial" w:cs="Arial" w:eastAsia="Arial" w:hAnsi="Arial"/>
                <w:sz w:val="18"/>
                <w:szCs w:val="18"/>
                <w:color w:val="auto"/>
              </w:rPr>
              <w:t>F-30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Controlled</w:t>
            </w: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Non-</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Parent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Controlled</w:t>
            </w:r>
          </w:p>
        </w:tc>
        <w:tc>
          <w:tcPr>
            <w:tcW w:w="8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7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8"/>
              </w:rPr>
              <w:t>Internal</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Founded</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Founded</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Entities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Entities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&amp; 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7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$000s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Statements of Comprehensive Loss</w:t>
            </w: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Contract revenue</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(46,283)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(1,515)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(25,553)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(41,395)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(71,672)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8"/>
              </w:rPr>
              <w:t>(1,917)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(36,224)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(117,955)</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deconsolidation</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85,016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85,016</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Arial" w:cs="Arial" w:eastAsia="Arial" w:hAnsi="Arial"/>
                <w:sz w:val="18"/>
                <w:szCs w:val="18"/>
                <w:color w:val="auto"/>
              </w:rPr>
              <w:t>Gain/(loss) on investments held at fair value</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57,334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57,334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income/(expense)</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Other income/(expense)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142,364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finance income/(costs)</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Share of net income/(loss) of associate accounted for using the equity method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(17,608)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taxes</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8"/>
              </w:rPr>
              <w:t>(1,938)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(44,927)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(132,324)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108,479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(70,711)</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w w:val="95"/>
              </w:rPr>
              <w:t>(Loss)/income before taxes pre IAS 39 fair value accounting, finance costs—subsidiary</w:t>
            </w: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w w:val="94"/>
              </w:rPr>
              <w:t>preferred shares, share-based payment expense, depreciation of tangible assets and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(1,938)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(34,691)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(52,275)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114,022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25,118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income/(costs)—subsidiary preferred shares</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Finance income/(costs)—IAS 39 fair value accounting</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(70,078)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(71,735)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(11,849)</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Impairment of tangible assets</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assets</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Income/(loss) for the year</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(1,938)</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(44,842)</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(132,381)</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104,067</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comprehensive income/(loss) for the year</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(44,434)</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(132,381)</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105,817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 attributable to:</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(454)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(35,098)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(41,635)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105,817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8"/>
              </w:rPr>
              <w:t>(1,484)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(90,746)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(101,566)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Parent commences initiatives in theme-based technologies, raises capital for investment in new companies and existing subsidiaries, provides other corporate shared services and support for all subsidiaries and manages the new program creation process.</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activity between the Parent and the reporting segments has been eliminated in consolidation. These elimination amounts are allocated to the subsidiaries.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proportion of net assets shown above that is attributable to non-controlling interest is disclosed in Note 16. The Non-Controlled Founded Entities consist of the Company’s minority interest holdings.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Investments held at fair value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Investments held at fair value include both unlisted and listed securities held by PureTech. These investments, which include Akili, Vor, Karuna, Gelesis (other than the investment in common shares—please refer to Note 6), resTORbio and other insignificant investments, are initially measured at fair value and are subsequently re-measured at fair value at each reporting date. Interests in these investments are accounted for as investments held at fair value, as shown below:</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Investments held at fair value</w:t>
            </w:r>
          </w:p>
        </w:tc>
        <w:tc>
          <w:tcPr>
            <w:tcW w:w="57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r>
      <w:tr>
        <w:trPr>
          <w:trHeight w:val="203"/>
        </w:trPr>
        <w:tc>
          <w:tcPr>
            <w:tcW w:w="7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January 1, 2018</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131,351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Deconsolidation of Akili</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70,748</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investment to investment in associate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Gain—comprehensive income/(loss)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Loss—fair value through profit and loss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(34,615)</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Balance at December 31, 2018 and January 1,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169,755</w:t>
            </w:r>
          </w:p>
        </w:tc>
        <w:tc>
          <w:tcPr>
            <w:tcW w:w="120" w:type="dxa"/>
            <w:vAlign w:val="bottom"/>
          </w:tcPr>
          <w:p>
            <w:pPr>
              <w:spacing w:after="0"/>
              <w:rPr>
                <w:sz w:val="19"/>
                <w:szCs w:val="19"/>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Deconsolidation of subsidiaries (Vor, Karuna and Gelesis (Note 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138,571</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Reclassification of Karuna investment to investment in associate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(118,006)</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Karuna investment at initial public offering </w:t>
            </w:r>
            <w:r>
              <w:rPr>
                <w:rFonts w:ascii="Arial" w:cs="Arial" w:eastAsia="Arial" w:hAnsi="Arial"/>
                <w:sz w:val="15"/>
                <w:szCs w:val="15"/>
                <w:color w:val="auto"/>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40,633</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purchase of Gelesis convertible notes (please refer to Note 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6,480</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purchase of Gelesis preferred shares (please refer to Note 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8,020</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Reclassification of Karuna investment at loss of significant influence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557,243</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resTORbio shares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(9,295)</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Loss—fair value through profit and loss</w:t>
            </w:r>
            <w:r>
              <w:rPr>
                <w:rFonts w:ascii="Arial" w:cs="Arial" w:eastAsia="Arial" w:hAnsi="Arial"/>
                <w:sz w:val="15"/>
                <w:szCs w:val="15"/>
                <w:color w:val="auto"/>
              </w:rPr>
              <w:t>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(78,496)</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714,905</w:t>
            </w:r>
          </w:p>
        </w:tc>
        <w:tc>
          <w:tcPr>
            <w:tcW w:w="120" w:type="dxa"/>
            <w:vAlign w:val="bottom"/>
            <w:shd w:val="clear" w:color="auto" w:fill="CCEEFF"/>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40" w:hanging="424"/>
        <w:spacing w:after="0" w:line="277" w:lineRule="auto"/>
        <w:tabs>
          <w:tab w:leader="none" w:pos="54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The net amount of these two items is a loss of $37.9 million which is reported on the line Gain/(loss) on investments held at fair value in the Consolidated Statements of Comprehensive Income/(Loss).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Vor</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Vor was founded by PureTech through an initial Series A-1 Preferred Shares financing and raised funds through issuance of convertible notes. As of December 31, 2018, PureTech maintained control of Vor and the subsidiary’s financial results were fully consolidated in the Group’s consolidated financial statements.</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On February 12, 2019, Vor completed a Series A-2 Preferred Shares financing round with PureTech and several new third party investors. The financing provided for the purchase of 62,819,866 shares of Vor Series A-2 Preferred Shares at the purchase price of $0.40 per share.</w:t>
      </w:r>
    </w:p>
    <w:p>
      <w:pPr>
        <w:spacing w:after="0" w:line="1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As a result of the issuance of Series A-2 preferred shares to third-party investors, PureTech’s ownership percentage and corresponding voting rights dropped from 79.5 percent to 47.5 percent, and PureTech simultaneously gave up control on Vor’s Board of Directors, both of which triggered a loss of control over the entity. As of February 12, 2019, Vor was deconsolidated from the Group’s financial statements, resulting in only the profits and losses generated by Vor through the deconsolidation date being included in the Consolidated Statement of Income/(Loss) and Other Comprehensive Income/(Loss). While the Company no longer controls Vor, it was concluded that PureTech still had significant influence over Vor by virtue of its large, albeit minority, ownership stake and its continued representation on Vor’s Board of Directors. PureTech still has the power to participate in the financial and operating policy decisions of the entity, although it does not control these policies. During the year ended December 31, 2019, the Company recognized a $6.4 million gain on the deconsolidation of Vor, which was recorded to the Gain on the deconsolidation of subsidiary line item in the Consolidated Statement of Income/(Loss) and Other Comprehensive Income/(Loss).</w:t>
      </w:r>
    </w:p>
    <w:p>
      <w:pPr>
        <w:spacing w:after="0" w:line="18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As PureTech did not hold common shares in Vor upon deconsolidation and the preferred shares it holds do not have equity-like features, the voting percentage attributable to common shares is nil. Therefore, PureTech had no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9" w:right="49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basis to account for its investment in Vor under IAS 28. The preferred shares held by PureTech fall under the guidance of IFRS 9 and will be treated as a financial asset held at fair value through the Consolidated Statement of Income/(Loss) and Other Comprehensive Income/(Loss). The fair value of the preferred shares at deconsolidation was $12.0 million.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2019, the Company recognized a gain of $0.6 million that was recorded on the line item Gain/(loss) on investments held at fair value within the Consolidated Statement of Income/(Loss) and Other Comprehensive Income/(Loss). Please refer to Note 16 for information regarding the valuation of these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Karuna was founded by PureTech and raised funding through Preferred Share financings as well as convertible note issuances. As of December 31, 2018, PureTech maintained control of Karuna and Karuna’s financial statements were fully consolidated in the Group’s consolidated financial statements.</w:t>
      </w:r>
    </w:p>
    <w:p>
      <w:pPr>
        <w:spacing w:after="0" w:line="184"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On March 15, 2019, Karuna completed the closing of a Series B Preferred Share financing with PureTech and several new third party investors. The financing provided for the purchase of 5,285,102 shares of Karuna Series B Preferred Shares at a purchase price of $15.14 per share.</w:t>
      </w:r>
    </w:p>
    <w:p>
      <w:pPr>
        <w:spacing w:after="0" w:line="12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As a result of the issuance of the preferred shares to third-party investors, PureTech’s ownership percentage and corresponding voting rights related to Karuna dropped from 70.9 percent to 44.3 percent, and PureTech simultaneously lost control over Karuna’s Board of Directors, both of which triggered a loss of control over the entity. As of March 15, 2019, Karuna was deconsolidated from the Group’s financial statements, resulting in only the profits and losses generated by Karuna through the deconsolidation date being included in the Group’s Consolidated Statement of Income/(Loss) and Other Comprehensive Income/(Loss). At the date of deconsolidation, PureTech recorded a $102.0 million gain on the deconsolidation of Karuna, which was recorded to the Gain on the deconsolidation of subsidiary line item in the Consolidated Statement of Income/(Loss) and Other Comprehensive Income/(Loss). While the Company no longer controls Karuna, it was concluded that PureTech still had significant influence over Karuna by virtue of its large, albeit minority, ownership stake and its continued representation on Karuna’s Board of Directors. PureTech still had the power to participate in the financial and operating policy decisions of the entity, although it did not control these policies. As PureTech had significant influence over Karuna, the entity was accounted for as an associate under IAS 28.</w:t>
      </w:r>
    </w:p>
    <w:p>
      <w:pPr>
        <w:spacing w:after="0" w:line="18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Upon the date of deconsolidation, PureTech held both preferred and common shares in Karuna and a warrant issued by Karuna to PureTech. The preferred shares and warrant held by PureTech fell under the guidance of IFRS 9 and were treated as financial assets held at fair value, and all movements to the value of preferred shares held by PureTech were recorded through the Consolidated Statement of Income/(Loss) and Other Comprehensive Income/(Loss), in accordance with IFRS 9. The fair value of the preferred shares and warrant at deconsolidation was $72.4 million. Subsequent to deconsolidation, PureTech purchased an additional $5.0 million of Karuna Series B Preferred shares, for a total fair value immediately following deconsolidation of $77.4 million.</w:t>
      </w:r>
    </w:p>
    <w:p>
      <w:pPr>
        <w:spacing w:after="0" w:line="192"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Due to the immaterial investment in common shares and overwhelmingly large losses by Karuna, the common share investment accounted for under the equity method was remeasured to nil immediately following both the deconsolidation and the exercise of the warrant in the first half of 2019.</w:t>
      </w:r>
    </w:p>
    <w:p>
      <w:pPr>
        <w:spacing w:after="0" w:line="12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June 28, 2019, Karuna priced its IPO. PureTech’s ownership percentage and corresponding voting rights related to Karuna dropped from 44.3 percent to 31.6 percent; however, PureTech retained significant influence due to its continued presence on the board and its large, albeit minority, equity stake in the company. Upon completion of the IPO, the Karuna preferred shares held by PureTech converted to common shares. In light of PureTech’s common share holdings in Karuna and corresponding voting rights, PureTech had re-established a basis to account for its investment in Karuna under IAS 28. The preferred shares investment held at fair value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was therefore reclassified to investment in associate upon completion of the conversion. During the year ended December 31, 2019 and up to June 28, 2019, the Company recognized a gain of $40.6 million that was recorded on the line item Gain on investments held at fair value within the Consolidated Statement of Comprehensive Income/(Loss) related to the preferred shares that increased in value between the date of deconsolidation and the date of Karuna’s IPO.</w:t>
      </w:r>
    </w:p>
    <w:p>
      <w:pPr>
        <w:spacing w:after="0" w:line="187"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As of December 2, 2019 it was concluded that the Company no longer exerted significant influence over Karuna owing to the resignation of the PureTech designee from Karuna’s board of directors, with PureTech retaining no ability to reappoint representation. Furthermore, PureTech is not involved in any manner, or has any influence, on the management of Karuna, or on any of its decision making processes and has no ability to do so. As such, PureTech lost the power to participate in the financial and operating policy decisions of Karuna. As a result, Karuna is no longer deemed an Associate and does not meet the scope of equity method accounting, resulting in the investment being accounted for as an investment held at fair value. As of December 2, 2019 the Company’s interest in Karuna was 28.4 percent. For the period of June 28, 2019 through December 2, 2019, PureTech’s investment in Karuna was subject to equity method accounting. In accordance with IAS 28, the Company’s investment was adjusted by the share of losses generated by Karuna (weighted average of 31.4 percent based on common stock ownership interest), which resulted in a net loss of associates accounted for using the equity method of $6.3 million during the year ended December 31, 2019.</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Upon PureTech’s loss of significant influence, the investment in Karuna was reclassified to an investment held at fair value. This change led PureTech to recognize a gain on loss of significant influence of $445.6 million that was recorded to the Consolidated Statement of Income/(Loss) on the line item Gain on loss of significant influence during the year ended December 31, 2019. The investment in Karuna after the recording of the gain on loss of significant influence was $557.2 million, which was reclassified from Investments in associates to Investments held at fair value. Additionally, from December 2, 2019 PureTech recorded a $0.7 million loss on the line item Gain/(loss) on investments held at fair value within the Consolidated Statement of Income/(Loss) and Other Comprehensive Income/(Loss) for the year ended December 31,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Akili</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May 8, 2018, Akili completed the first closing of a Series C Preferred Stock financing in which PureTech Health did not invest. As a result of the issuance of the preferred shares to third-party investors, following the first close of the Series C financing, PureTech’s ownership percentage and corresponding voting rights related to Akili dropped from 61.8 percent to 41.9 percent, triggering a loss of control over the entity. As of May 2018, Akili was deconsolidated from the Group’s financial statements, resulting in only the profits and losses generated by Akili through May 2018 being included in the Group’s Consolidated Statements of Comprehensive Income/(Loss). As a result of the deconsolidation, PureTech recognized a $41.7 million gain on the deconsolidation during the year ended December 31, 2018, which was recorded to the Consolidated Statement of Comprehensive Income/(Loss) on the line item Gain on the deconsolidation of subsidiary.</w:t>
      </w:r>
    </w:p>
    <w:p>
      <w:pPr>
        <w:spacing w:after="0" w:line="17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As PureTech did not hold common shares in Akili upon deconsolidation and the preferred shares it holds do not have equity-like features, the voting percentage attributable to common shares is nil. Therefore, PureTech had no basis to account for its investment in Akili under IAS 28. The preferred shares held by PureTech Health fall under the guidance of IFRS 9 and will be treated as a financial asset held at fair value and all movements to the value of PureTech’s share in the preferred shares will be recorded through the Consolidated Statements of Comprehensive Income/(Loss), in accordance with IFRS 9. During the year ended December 31, 2019 and 2018, the Company recognized a gain of $11.5 million and $12.7 million, respectively, that was recorded on the line item Loss on investments held at fair value within the Consolidated Statements of Comprehensive Income/(Loss). Please refer to Note 16 for information regarding the valuation of these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resTORbio</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On January 26, 2018, resTORbio, Inc., closed its initial public offering. Prior to the resTORbio IPO, PureTech Health recorded a loss of $14.3 million during the year ended December 31, 2018 to the Consolidated Statement of Income/(Loss) within Gain/(Loss) on investments held at Fair Value to adjust the fair value related to its resTORbio Series A Preferred Share investment. Upon completion of the public offering, the resTORbio Series A Preferred Shares held by PureTech Health converted to common shares. In light of PureTech’s common shares holdings in resTORbio and corresponding voting rights, the preferred shares investment held at fair value was reclassified to investment in associate upon the completion of the conversion.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For the period of January 1, 2018 through November 5, 2018, PureTech’s investment in resTORbio was subject to equity method accounting. In accordance with IAS 28, PureTech’s investment was adjusted by the share of profits and losses generated by resTORbio (34.9 percent based on common stock ownership interest), which resulted in a net loss of associates of $11.5 million accounted for using the equity method which was recorded to the Consolidated Statement of Income/(Loss) on the line item Share of net loss of associates during the year ended December 31, 2018.</w:t>
      </w:r>
    </w:p>
    <w:p>
      <w:pPr>
        <w:spacing w:after="0" w:line="15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of November 6, 2018, it was that concluded the Company no longer exerted significant influence over resTORbio, as PureTech lost the power to participate in the financial and operating policy decisions of resTORbio. As a result, resTORbio is no longer deemed an Associate and does not meet the scope of equity method accounting, resulting in the investment being accounted for as an investment held at fair value. For the period of January 1, 2018 through November 5, 2018, PureTech’s investment in resTORbio was subject to equity method accounting. In accordance with IAS 28, PureTech’s investment was adjusted by the share of profits and losses generated by resTORbio, that resulted a net loss of associates accounted for using the equity method of $11.5 million that was recorded to the Consolidated Statement of Income/(Loss) on the line item Share of net loss of associates accounted for using the equity method during the year ended December 31, 2018. This change led PureTech to recognize a gain on loss of significant influence of $10.3 million that was recorded to the Consolidated Statement of Income/(Loss) on the line item Gain on loss of significant influence during the year ended December 31, 2018. Additionally, PureTech recorded a loss of $33.0 million for the adjustment to fair value in connection with its investment in resTORbio to the Consolidated Statement of Income/(Loss) on the line item Loss on financial asset during the year ended December 31, 2018.</w:t>
      </w:r>
    </w:p>
    <w:p>
      <w:pPr>
        <w:spacing w:after="0" w:line="16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On November 15, 2019, resTORbio announced that top line data from the Protector 1 Phase 3 study evaluating the safety and efficacy of RTB101 in preventing clinically symptomatic respiratory illness in adults age 65 and older, did not meet its primary endpoint and the Company has stopped the development of RTB101 in this indication. As a result of ceasing the development of RTB101, resTORbio’s share price witnessed a decline in price. In November and December 2019, PureTech Health sold 7,680,700 common shares of resTORbio for aggregate proceeds of $9.3 million. Immediately following the sale of common shares, PureTech Health held 2,119,696 common shares, or 5.8 percent, of resTORbio. Additionally, PureTech recorded a loss of $71.9 million for the adjustment to fair value in connection with its investment in resTORbio to the Consolidated Statement of Income/(Loss) on the line item Loss on financial asset during the year ended December 31, 2019.</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deconsolidation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gain on deconsolidation recognized by the Company:</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4980" w:type="dxa"/>
            <w:vAlign w:val="bottom"/>
            <w:vMerge w:val="restart"/>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93"/>
              <w:spacing w:after="0"/>
              <w:rPr>
                <w:sz w:val="20"/>
                <w:szCs w:val="20"/>
                <w:color w:val="auto"/>
              </w:rPr>
            </w:pPr>
            <w:r>
              <w:rPr>
                <w:rFonts w:ascii="Arial" w:cs="Arial" w:eastAsia="Arial" w:hAnsi="Arial"/>
                <w:sz w:val="14"/>
                <w:szCs w:val="14"/>
                <w:color w:val="auto"/>
              </w:rPr>
              <w:t>2018</w:t>
            </w:r>
          </w:p>
        </w:tc>
        <w:tc>
          <w:tcPr>
            <w:tcW w:w="960" w:type="dxa"/>
            <w:vAlign w:val="bottom"/>
            <w:gridSpan w:val="2"/>
          </w:tcPr>
          <w:p>
            <w:pPr>
              <w:jc w:val="right"/>
              <w:ind w:right="9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3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color w:val="auto"/>
                <w:w w:val="89"/>
              </w:rPr>
              <w:t>$000s</w:t>
            </w:r>
          </w:p>
        </w:tc>
        <w:tc>
          <w:tcPr>
            <w:tcW w:w="320" w:type="dxa"/>
            <w:vAlign w:val="bottom"/>
          </w:tcPr>
          <w:p>
            <w:pPr>
              <w:spacing w:after="0"/>
              <w:rPr>
                <w:sz w:val="15"/>
                <w:szCs w:val="15"/>
                <w:color w:val="auto"/>
              </w:rPr>
            </w:pPr>
          </w:p>
        </w:tc>
        <w:tc>
          <w:tcPr>
            <w:tcW w:w="72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Gain on deconsolidation of Akili</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41,730</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Gain on deconsolidation of Vor</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6,357</w:t>
            </w:r>
          </w:p>
        </w:tc>
        <w:tc>
          <w:tcPr>
            <w:tcW w:w="3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deconsolidation of Karuna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102,038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Gain on deconsolidation of resTORbio</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87"/>
              </w:rPr>
              <w:t>85,016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deconsolidation of Gelesis [Note 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156,014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gain on deconsolidation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264,409</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41,730</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85,016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right="8880" w:hanging="4"/>
        <w:spacing w:after="0" w:line="377" w:lineRule="auto"/>
        <w:tabs>
          <w:tab w:leader="none" w:pos="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Associates Gelesis</w:t>
      </w:r>
    </w:p>
    <w:p>
      <w:pPr>
        <w:spacing w:after="0" w:line="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Gelesis was founded by PureTech and raised funding through preferred shares financings as well as issuances of warrants and loans. As of December 31, 2018, PureTech maintained control of Gelesis and the subsidiary’s financial results were fully consolidated in the Group’s consolidated financial statements.</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July 1, 2019, the Gelesis Board of Directors was restructured, resulting in two of the three PureTech representatives resigning from the Board with PureTech retaining no ability to reappoint directors to these board seats. As a result of this restructuring, PureTech lost control over Gelesis’ Board of Directors, which triggered a loss of control over the entity. At the deconsolidation date, PureTech held a 25.2% voting interest in Gelesis. As of July 1, 2019, Gelesis was deconsolidated from the Group’s financial statements, resulting in only the profits and losses generated by Gelesis through the deconsolidation date being included in the Group’s Consolidated Statement of Income/(Loss) and Other Comprehensive Income/(Loss). At the date of deconsolidation, PureTech recorded a $156.0 million gain on the deconsolidation of Gelesis, which was recorded to the Gain on the deconsolidation of subsidiary line item in the Consolidated Statement of Income/(Loss) and Other Comprehensive Income/(Loss). While the Company no longer controls Gelesis, it was concluded that PureTech still has significant influence over Gelesis by virtue of its large, albeit minority, ownership stake and its continued representation on Gelesis’ Board of Directors. PureTech still has the power to participate in the financial and operating policy decisions of the entity, although it does not control these policies. As PureTech is able to demonstrate that it has significant influence over Gelesis, the entity will be accounted for as an associate under IAS 28, starting at the date of deconsolidation.</w:t>
      </w:r>
    </w:p>
    <w:p>
      <w:pPr>
        <w:spacing w:after="0" w:line="182"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Upon the date of deconsolidation, PureTech held shares of preferred shares and common shares of Gelesis and a warrant issued by Gelesis to PureTech. PureTech’s investment in common shares of Gelesis is subject to equity method accounting with an initial investment of $16.4 million. In accordance with IAS 28, PureTech’s investment was adjusted by the share of profits and losses generated by Gelesis subsequent to the date of deconsolidation. PureTech recognized its share in the net profit of Gelesis (weighted average of 49.8% based on common stock ownership interest) for the period from deconsolidation date until December 31, 2019 in the amount of $37.1 million.</w:t>
      </w:r>
    </w:p>
    <w:p>
      <w:pPr>
        <w:spacing w:after="0" w:line="176"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preferred shares and warrant held by PureTech fall under the guidance of IFRS 9 and will be treated as financial assets held at fair value and all movements to the value of PureTech’s share in the preferred shares will be recorded through the Consolidated Statement of Income/(Loss) and Other Comprehensive Income/(Loss), in accordance with IFRS 9. The fair value of the preferred shares and warrant at deconsolidation was $49.2 million.</w:t>
      </w:r>
    </w:p>
    <w:p>
      <w:pPr>
        <w:spacing w:after="0" w:line="14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During the year ended December 31, 2019, the Company recognized a loss of $18.7 million related to the preferred shares and warrants that was recorded on the line item Gain/(loss) on investments held at fair value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within the Consolidated Statement of Income/(Loss) and Other Comprehensive Income/(Loss). This loss occurred as a result of the Gelesis Series 3 Growth financing, which was executed with terms that resulted in a decrease in fair value across all other classes of preferred shares.</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On August 12, 2019, Gelesis issued a convertible promissory note to the Company in the amount of $2 million. On October 7, 2019, Gelesis issued an amended and restated convertible note (the “Gelesis Note”) to the Company in the principal amount of up to $6.5 million. The Gelesis Note was payable in installments, with $2.0 million of the note drawn down upon execution of the original note in August 2019 and an additional $3.3 million and $1.2 million drawn down on October 7, 2019 and November 5, 2019, respectively. The Gelesis Note was convertible upon the occurrence of Gelesis’ next qualified equity financing, or at the demand of the Company at any date after December 31, 2019. The Gelesis Note falls under the guidance of IFRS 9 and will be treated as a financial asset held at fair and all movements to the value of the note will be recorded through the Consolidated Statement of Income/(Loss) and Other Comprehensive Income/(Loss).</w:t>
      </w:r>
    </w:p>
    <w:p>
      <w:pPr>
        <w:spacing w:after="0" w:line="17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On December 5, 2019, Gelesis closed its Series 3 Growth Preferred Stock financing, at which point all outstanding principal and interest under the Gelesis Note converted into shares of Series 3 Growth Preferred Stock. In addition to the shares issued upon conversion of the Gelesis Note, PureTech purchased $8 million of Series 3 Growth Preferred Stock in the December financing.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Loss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Following the issuance of the Gelesis Series 3 Preferred Shares at a higher valuation than the previous round with some favorable liquidation provisions primarily to PureTech and also to the other Series 3 preferred share investors, which resulted in adjustments to the fair values of other preferred shares, warrant classes and Gelesis common stock, the Company assessed the investment in common shares held in Gelesis for impairment. Management compared the recoverable amount of the investment to its carrying amount as of December 31, 2019, which resulted in an impairment loss to the Investment in Gelesis. The recoverable amount was estimated based on the fair value of the Gelesis common shares held by PureTech, which are considered to be within Level 3 of the fair value hierarchy. The costs of disposal are immaterial for the calculation of Gelesis investment’s recoverable amount.</w:t>
      </w:r>
    </w:p>
    <w:p>
      <w:pPr>
        <w:spacing w:after="0" w:line="19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During the year ended December 31, 2019, the total fair value of common shares was determined utilizing a hybrid valuation approach with significant unobservable inputs within the PureTech valuation framework (refer to Note 16). The multi-scenario hybrid valuation approach utilized the recent transaction method within an option pricing framework and an IPO scenario within a probability-weighted-expected return framework to determine the value allocation for the common share class of Gelesis. The fair value of the common shares was determined as the calculated business enterprise value allocated to the outstanding common shares treated as call options within the OPM or the value of common shares within the PWERM. The PWERM maintained a 75.0 percent probability of occurrence while the OPM maintained a 25.0 percent probability of occurrence. The probability weighted term to exit was 1.57 years. The discount rate utilized was 20.0 percent while the risk-free rate and volatility utilized were 1.62 percent and 56.0 percent, respectively.</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impairment loss amounted to $42.9 million and was recorded to Impairment of investment in associate within the Consolidated Statement of Income/(Loss) and Other Comprehensive Income/(Loss) for the year ended December 31, 2019. As of December 31, 2019 the investment in Gelesis was $10.6 million, which is equal to the fair value of the common shares held by PureTech.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activity related to the investment in associates balance for the years ended December 31, 2019 and 2018.</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8320" w:type="dxa"/>
            <w:vAlign w:val="bottom"/>
            <w:gridSpan w:val="3"/>
          </w:tcPr>
          <w:p>
            <w:pPr>
              <w:spacing w:after="0"/>
              <w:rPr>
                <w:sz w:val="20"/>
                <w:szCs w:val="20"/>
                <w:color w:val="auto"/>
              </w:rPr>
            </w:pPr>
            <w:r>
              <w:rPr>
                <w:rFonts w:ascii="Arial" w:cs="Arial" w:eastAsia="Arial" w:hAnsi="Arial"/>
                <w:sz w:val="14"/>
                <w:szCs w:val="14"/>
                <w:color w:val="auto"/>
              </w:rPr>
              <w:t>Investment in Associates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$000’s</w:t>
            </w:r>
          </w:p>
        </w:tc>
      </w:tr>
      <w:tr>
        <w:trPr>
          <w:trHeight w:val="203"/>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At January 1, 2018</w:t>
            </w:r>
          </w:p>
        </w:tc>
        <w:tc>
          <w:tcPr>
            <w:tcW w:w="6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Investment upon initial public offering of resTORbio</w:t>
            </w:r>
          </w:p>
        </w:tc>
        <w:tc>
          <w:tcPr>
            <w:tcW w:w="800" w:type="dxa"/>
            <w:vAlign w:val="bottom"/>
          </w:tcPr>
          <w:p>
            <w:pPr>
              <w:jc w:val="right"/>
              <w:spacing w:after="0"/>
              <w:rPr>
                <w:sz w:val="20"/>
                <w:szCs w:val="20"/>
                <w:color w:val="auto"/>
              </w:rPr>
            </w:pPr>
            <w:r>
              <w:rPr>
                <w:rFonts w:ascii="Arial" w:cs="Arial" w:eastAsia="Arial" w:hAnsi="Arial"/>
                <w:sz w:val="18"/>
                <w:szCs w:val="18"/>
                <w:color w:val="auto"/>
              </w:rPr>
              <w:t>115,210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investment in Associate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Share of net loss of resTORbio accounted for using the equity method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(11,490)</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loss of significant influence of resTORbio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Reclassification of resTORbio investment upon loss of significant influence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(117,507)</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 and January 1, 2019</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Reclassification of Karuna investment at initial public offering</w:t>
            </w:r>
          </w:p>
        </w:tc>
        <w:tc>
          <w:tcPr>
            <w:tcW w:w="800" w:type="dxa"/>
            <w:vAlign w:val="bottom"/>
          </w:tcPr>
          <w:p>
            <w:pPr>
              <w:jc w:val="right"/>
              <w:spacing w:after="0"/>
              <w:rPr>
                <w:sz w:val="20"/>
                <w:szCs w:val="20"/>
                <w:color w:val="auto"/>
              </w:rPr>
            </w:pPr>
            <w:r>
              <w:rPr>
                <w:rFonts w:ascii="Arial" w:cs="Arial" w:eastAsia="Arial" w:hAnsi="Arial"/>
                <w:sz w:val="18"/>
                <w:szCs w:val="18"/>
                <w:color w:val="auto"/>
              </w:rPr>
              <w:t>118,006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Gelesis upon deconsolidation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Share of net loss of Karuna accounted for using the equity method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(6,345)</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profit of Gelesis accounted for using the equity method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Impairment of investment in Gelesis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(42,938)</w:t>
            </w: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investment upon loss of significant influence</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(111,661)</w:t>
            </w:r>
          </w:p>
        </w:tc>
      </w:tr>
      <w:tr>
        <w:trPr>
          <w:trHeight w:val="223"/>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10,642</w:t>
            </w:r>
          </w:p>
        </w:tc>
        <w:tc>
          <w:tcPr>
            <w:tcW w:w="140" w:type="dxa"/>
            <w:vAlign w:val="bottom"/>
          </w:tcPr>
          <w:p>
            <w:pPr>
              <w:spacing w:after="0"/>
              <w:rPr>
                <w:sz w:val="19"/>
                <w:szCs w:val="19"/>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table summarizes the financial information of Gelesis as included in its own financial statements, adjusted for fair value adjustments at deconsolidation and differences in accounting policies. The table also reconciles the summarized financial information to the carrying amount of the Company’s interest in Gelesis. The information for the year ended December 31, 2019 includes the results of Gelesis only for the period July 1, 2019 to December 31, 2019, as Gelesis was consolidated prior to this period.</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0" w:type="dxa"/>
            <w:vAlign w:val="bottom"/>
            <w:gridSpan w:val="3"/>
            <w:vMerge w:val="continue"/>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Percentage ownership interest—common stock</w:t>
            </w: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b w:val="1"/>
                <w:bCs w:val="1"/>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369,336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216,852</w:t>
            </w:r>
          </w:p>
        </w:tc>
        <w:tc>
          <w:tcPr>
            <w:tcW w:w="0" w:type="dxa"/>
            <w:vAlign w:val="bottom"/>
          </w:tcPr>
          <w:p>
            <w:pPr>
              <w:spacing w:after="0"/>
              <w:rPr>
                <w:sz w:val="1"/>
                <w:szCs w:val="1"/>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Net assets (100%)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110,157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Group’s share of net assets (49.3%)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Share in associate’s equity settled share based payments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before impairment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Impairment of investment in associate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(42,938)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associate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3"/>
            <w:vMerge w:val="continue"/>
          </w:tcPr>
          <w:p>
            <w:pPr>
              <w:spacing w:after="0"/>
              <w:rPr>
                <w:sz w:val="18"/>
                <w:szCs w:val="18"/>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(100%)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Total comprehensive income (100%)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Group’s share of total comprehensive income (49.8%)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20" w:type="dxa"/>
            <w:vAlign w:val="bottom"/>
            <w:vMerge w:val="restart"/>
          </w:tcPr>
          <w:p>
            <w:pPr>
              <w:ind w:left="2000"/>
              <w:spacing w:after="0"/>
              <w:rPr>
                <w:sz w:val="20"/>
                <w:szCs w:val="20"/>
                <w:color w:val="auto"/>
              </w:rPr>
            </w:pPr>
            <w:r>
              <w:rPr>
                <w:rFonts w:ascii="Arial" w:cs="Arial" w:eastAsia="Arial" w:hAnsi="Arial"/>
                <w:sz w:val="18"/>
                <w:szCs w:val="18"/>
                <w:color w:val="auto"/>
              </w:rPr>
              <w:t>F-38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expenses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color w:val="auto"/>
                <w:w w:val="91"/>
              </w:rPr>
              <w:t>For the years ending December 31,</w:t>
            </w:r>
          </w:p>
        </w:tc>
        <w:tc>
          <w:tcPr>
            <w:tcW w:w="494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100" w:type="dxa"/>
            <w:vAlign w:val="bottom"/>
            <w:gridSpan w:val="2"/>
          </w:tcPr>
          <w:p>
            <w:pPr>
              <w:jc w:val="right"/>
              <w:ind w:right="175"/>
              <w:spacing w:after="0"/>
              <w:rPr>
                <w:sz w:val="20"/>
                <w:szCs w:val="20"/>
                <w:color w:val="auto"/>
              </w:rPr>
            </w:pPr>
            <w:r>
              <w:rPr>
                <w:rFonts w:ascii="Arial" w:cs="Arial" w:eastAsia="Arial" w:hAnsi="Arial"/>
                <w:sz w:val="14"/>
                <w:szCs w:val="14"/>
                <w:color w:val="auto"/>
              </w:rPr>
              <w:t>2018</w:t>
            </w:r>
          </w:p>
        </w:tc>
        <w:tc>
          <w:tcPr>
            <w:tcW w:w="1120" w:type="dxa"/>
            <w:vAlign w:val="bottom"/>
            <w:gridSpan w:val="2"/>
          </w:tcPr>
          <w:p>
            <w:pPr>
              <w:jc w:val="right"/>
              <w:ind w:right="175"/>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gridSpan w:val="2"/>
            <w:vMerge w:val="continue"/>
          </w:tcPr>
          <w:p>
            <w:pPr>
              <w:spacing w:after="0"/>
              <w:rPr>
                <w:sz w:val="15"/>
                <w:szCs w:val="15"/>
                <w:color w:val="auto"/>
              </w:rPr>
            </w:pPr>
          </w:p>
        </w:tc>
        <w:tc>
          <w:tcPr>
            <w:tcW w:w="414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30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color w:val="auto"/>
                <w:w w:val="89"/>
              </w:rPr>
              <w:t>$000s</w:t>
            </w:r>
          </w:p>
        </w:tc>
        <w:tc>
          <w:tcPr>
            <w:tcW w:w="320" w:type="dxa"/>
            <w:vAlign w:val="bottom"/>
          </w:tcPr>
          <w:p>
            <w:pPr>
              <w:spacing w:after="0"/>
              <w:rPr>
                <w:sz w:val="15"/>
                <w:szCs w:val="15"/>
                <w:color w:val="auto"/>
              </w:rPr>
            </w:pPr>
          </w:p>
        </w:tc>
        <w:tc>
          <w:tcPr>
            <w:tcW w:w="86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2"/>
              </w:rPr>
              <w:t>General and administrative</w:t>
            </w:r>
          </w:p>
        </w:tc>
        <w:tc>
          <w:tcPr>
            <w:tcW w:w="4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59,358</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47,365</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0"/>
              </w:rPr>
              <w:t>Research and development</w:t>
            </w:r>
          </w:p>
        </w:tc>
        <w:tc>
          <w:tcPr>
            <w:tcW w:w="4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85,848</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77,402</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Total operating expenses</w:t>
            </w:r>
          </w:p>
        </w:tc>
        <w:tc>
          <w:tcPr>
            <w:tcW w:w="4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145,206</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124,767</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average number of persons employed by the Group during the year, analyzed by category,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For the years ending December 31,</w:t>
            </w:r>
          </w:p>
        </w:tc>
        <w:tc>
          <w:tcPr>
            <w:tcW w:w="2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480" w:type="dxa"/>
            <w:vAlign w:val="bottom"/>
            <w:gridSpan w:val="5"/>
          </w:tcPr>
          <w:p>
            <w:pPr>
              <w:jc w:val="right"/>
              <w:ind w:right="40"/>
              <w:spacing w:after="0"/>
              <w:rPr>
                <w:sz w:val="20"/>
                <w:szCs w:val="20"/>
                <w:color w:val="auto"/>
              </w:rPr>
            </w:pPr>
            <w:r>
              <w:rPr>
                <w:rFonts w:ascii="Arial" w:cs="Arial" w:eastAsia="Arial" w:hAnsi="Arial"/>
                <w:sz w:val="14"/>
                <w:szCs w:val="14"/>
                <w:color w:val="auto"/>
              </w:rPr>
              <w:t>2018</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General and administrative</w:t>
            </w:r>
          </w:p>
        </w:tc>
        <w:tc>
          <w:tcPr>
            <w:tcW w:w="2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90</w:t>
            </w:r>
          </w:p>
        </w:tc>
        <w:tc>
          <w:tcPr>
            <w:tcW w:w="300" w:type="dxa"/>
            <w:vAlign w:val="bottom"/>
            <w:gridSpan w:val="3"/>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20" w:type="dxa"/>
            <w:vAlign w:val="bottom"/>
            <w:gridSpan w:val="4"/>
          </w:tcPr>
          <w:p>
            <w:pPr>
              <w:spacing w:after="0"/>
              <w:rPr>
                <w:sz w:val="20"/>
                <w:szCs w:val="20"/>
                <w:color w:val="auto"/>
              </w:rPr>
            </w:pPr>
            <w:r>
              <w:rPr>
                <w:rFonts w:ascii="Arial" w:cs="Arial" w:eastAsia="Arial" w:hAnsi="Arial"/>
                <w:sz w:val="18"/>
                <w:szCs w:val="18"/>
                <w:color w:val="auto"/>
                <w:w w:val="99"/>
              </w:rPr>
              <w:t>The aggregate payroll costs of these persons were as follows:</w:t>
            </w: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2040" w:type="dxa"/>
            <w:vAlign w:val="bottom"/>
            <w:gridSpan w:val="2"/>
            <w:vMerge w:val="restart"/>
          </w:tcPr>
          <w:p>
            <w:pPr>
              <w:spacing w:after="0"/>
              <w:rPr>
                <w:sz w:val="20"/>
                <w:szCs w:val="20"/>
                <w:color w:val="auto"/>
              </w:rPr>
            </w:pPr>
            <w:r>
              <w:rPr>
                <w:rFonts w:ascii="Arial" w:cs="Arial" w:eastAsia="Arial" w:hAnsi="Arial"/>
                <w:sz w:val="14"/>
                <w:szCs w:val="14"/>
                <w:color w:val="auto"/>
                <w:w w:val="91"/>
              </w:rPr>
              <w:t>For the years ending December 31,</w:t>
            </w:r>
          </w:p>
        </w:tc>
        <w:tc>
          <w:tcPr>
            <w:tcW w:w="2000" w:type="dxa"/>
            <w:vAlign w:val="bottom"/>
            <w:vMerge w:val="restart"/>
          </w:tcPr>
          <w:p>
            <w:pPr>
              <w:spacing w:after="0"/>
              <w:rPr>
                <w:sz w:val="24"/>
                <w:szCs w:val="24"/>
                <w:color w:val="auto"/>
              </w:rPr>
            </w:pPr>
          </w:p>
        </w:tc>
        <w:tc>
          <w:tcPr>
            <w:tcW w:w="2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5"/>
          </w:tcPr>
          <w:p>
            <w:pPr>
              <w:jc w:val="right"/>
              <w:ind w:right="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jc w:val="right"/>
              <w:ind w:right="70"/>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2040" w:type="dxa"/>
            <w:vAlign w:val="bottom"/>
            <w:tcBorders>
              <w:bottom w:val="single" w:sz="8" w:color="auto"/>
            </w:tcBorders>
            <w:gridSpan w:val="2"/>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gridSpan w:val="2"/>
          </w:tcPr>
          <w:p>
            <w:pPr>
              <w:jc w:val="center"/>
              <w:ind w:left="36"/>
              <w:spacing w:after="0" w:line="158" w:lineRule="exact"/>
              <w:rPr>
                <w:sz w:val="20"/>
                <w:szCs w:val="20"/>
                <w:color w:val="auto"/>
              </w:rPr>
            </w:pPr>
            <w:r>
              <w:rPr>
                <w:rFonts w:ascii="Arial" w:cs="Arial" w:eastAsia="Arial" w:hAnsi="Arial"/>
                <w:sz w:val="14"/>
                <w:szCs w:val="14"/>
                <w:b w:val="1"/>
                <w:bCs w:val="1"/>
                <w:color w:val="auto"/>
                <w:w w:val="87"/>
              </w:rPr>
              <w:t>$000s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center"/>
              <w:spacing w:after="0" w:line="158" w:lineRule="exact"/>
              <w:rPr>
                <w:sz w:val="20"/>
                <w:szCs w:val="20"/>
                <w:color w:val="auto"/>
              </w:rPr>
            </w:pPr>
            <w:r>
              <w:rPr>
                <w:rFonts w:ascii="Arial" w:cs="Arial" w:eastAsia="Arial" w:hAnsi="Arial"/>
                <w:sz w:val="14"/>
                <w:szCs w:val="14"/>
                <w:color w:val="auto"/>
                <w:w w:val="89"/>
              </w:rPr>
              <w:t>$000s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4"/>
          </w:tcPr>
          <w:p>
            <w:pPr>
              <w:jc w:val="center"/>
              <w:ind w:right="1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General and administrative</w:t>
            </w:r>
          </w:p>
        </w:tc>
        <w:tc>
          <w:tcPr>
            <w:tcW w:w="2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24,468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22,939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22,348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20,682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45,150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43,048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20" w:type="dxa"/>
            <w:vAlign w:val="bottom"/>
            <w:gridSpan w:val="4"/>
          </w:tcPr>
          <w:p>
            <w:pPr>
              <w:spacing w:after="0"/>
              <w:rPr>
                <w:sz w:val="20"/>
                <w:szCs w:val="20"/>
                <w:color w:val="auto"/>
              </w:rPr>
            </w:pPr>
            <w:r>
              <w:rPr>
                <w:rFonts w:ascii="Arial" w:cs="Arial" w:eastAsia="Arial" w:hAnsi="Arial"/>
                <w:sz w:val="18"/>
                <w:szCs w:val="18"/>
                <w:color w:val="auto"/>
              </w:rPr>
              <w:t>Detailed operating expenses were as follows:</w:t>
            </w: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2040" w:type="dxa"/>
            <w:vAlign w:val="bottom"/>
            <w:gridSpan w:val="2"/>
            <w:vMerge w:val="restart"/>
          </w:tcPr>
          <w:p>
            <w:pPr>
              <w:spacing w:after="0"/>
              <w:rPr>
                <w:sz w:val="20"/>
                <w:szCs w:val="20"/>
                <w:color w:val="auto"/>
              </w:rPr>
            </w:pPr>
            <w:r>
              <w:rPr>
                <w:rFonts w:ascii="Arial" w:cs="Arial" w:eastAsia="Arial" w:hAnsi="Arial"/>
                <w:sz w:val="14"/>
                <w:szCs w:val="14"/>
                <w:color w:val="auto"/>
                <w:w w:val="91"/>
              </w:rPr>
              <w:t>For the years ending December 31,</w:t>
            </w:r>
          </w:p>
        </w:tc>
        <w:tc>
          <w:tcPr>
            <w:tcW w:w="2000" w:type="dxa"/>
            <w:vAlign w:val="bottom"/>
            <w:vMerge w:val="restart"/>
          </w:tcPr>
          <w:p>
            <w:pPr>
              <w:spacing w:after="0"/>
              <w:rPr>
                <w:sz w:val="24"/>
                <w:szCs w:val="24"/>
                <w:color w:val="auto"/>
              </w:rPr>
            </w:pPr>
          </w:p>
        </w:tc>
        <w:tc>
          <w:tcPr>
            <w:tcW w:w="2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89"/>
              </w:rPr>
              <w:t>2018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jc w:val="right"/>
              <w:ind w:right="150"/>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2040" w:type="dxa"/>
            <w:vAlign w:val="bottom"/>
            <w:tcBorders>
              <w:bottom w:val="single" w:sz="8" w:color="auto"/>
            </w:tcBorders>
            <w:gridSpan w:val="2"/>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8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7"/>
              </w:rPr>
              <w:t>$000s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6"/>
          </w:tcPr>
          <w:p>
            <w:pPr>
              <w:jc w:val="center"/>
              <w:spacing w:after="0" w:line="158" w:lineRule="exact"/>
              <w:rPr>
                <w:sz w:val="20"/>
                <w:szCs w:val="20"/>
                <w:color w:val="auto"/>
              </w:rPr>
            </w:pPr>
            <w:r>
              <w:rPr>
                <w:rFonts w:ascii="Arial" w:cs="Arial" w:eastAsia="Arial" w:hAnsi="Arial"/>
                <w:sz w:val="14"/>
                <w:szCs w:val="14"/>
                <w:color w:val="auto"/>
                <w:w w:val="89"/>
              </w:rPr>
              <w:t>$000s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jc w:val="center"/>
              <w:ind w:right="2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Salaries and wages</w:t>
            </w:r>
          </w:p>
        </w:tc>
        <w:tc>
          <w:tcPr>
            <w:tcW w:w="2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27,703</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27,274</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26,244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Healthcare benefits</w:t>
            </w: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Payroll taxes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21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14,468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8"/>
              </w:rPr>
              <w:t>12,637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payroll costs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45,150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43,048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4"/>
          </w:tcPr>
          <w:p>
            <w:pPr>
              <w:ind w:left="880"/>
              <w:spacing w:after="0"/>
              <w:rPr>
                <w:sz w:val="20"/>
                <w:szCs w:val="20"/>
                <w:color w:val="auto"/>
              </w:rPr>
            </w:pPr>
            <w:r>
              <w:rPr>
                <w:rFonts w:ascii="Arial" w:cs="Arial" w:eastAsia="Arial" w:hAnsi="Arial"/>
                <w:sz w:val="18"/>
                <w:szCs w:val="18"/>
                <w:color w:val="auto"/>
                <w:w w:val="99"/>
              </w:rPr>
              <w:t>Other selling, general and administrative expenses</w:t>
            </w:r>
          </w:p>
        </w:tc>
        <w:tc>
          <w:tcPr>
            <w:tcW w:w="214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34,890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8"/>
              </w:rPr>
              <w:t>24,426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23,935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65,166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57,293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 other operating expenses</w:t>
            </w:r>
          </w:p>
        </w:tc>
        <w:tc>
          <w:tcPr>
            <w:tcW w:w="214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100,056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8"/>
              </w:rPr>
              <w:t>81,719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76,651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145,206</w:t>
            </w:r>
          </w:p>
        </w:tc>
        <w:tc>
          <w:tcPr>
            <w:tcW w:w="40" w:type="dxa"/>
            <w:vAlign w:val="bottom"/>
            <w:shd w:val="clear" w:color="auto" w:fill="CCEEFF"/>
          </w:tcPr>
          <w:p>
            <w:pPr>
              <w:spacing w:after="0"/>
              <w:rPr>
                <w:sz w:val="18"/>
                <w:szCs w:val="18"/>
                <w:color w:val="auto"/>
              </w:rPr>
            </w:pPr>
          </w:p>
        </w:tc>
        <w:tc>
          <w:tcPr>
            <w:tcW w:w="10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124,767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20" w:type="dxa"/>
            <w:vAlign w:val="bottom"/>
            <w:gridSpan w:val="4"/>
          </w:tcPr>
          <w:p>
            <w:pPr>
              <w:spacing w:after="0"/>
              <w:rPr>
                <w:sz w:val="20"/>
                <w:szCs w:val="20"/>
                <w:color w:val="auto"/>
              </w:rPr>
            </w:pPr>
            <w:r>
              <w:rPr>
                <w:rFonts w:ascii="Arial" w:cs="Arial" w:eastAsia="Arial" w:hAnsi="Arial"/>
                <w:sz w:val="18"/>
                <w:szCs w:val="18"/>
                <w:color w:val="auto"/>
              </w:rPr>
              <w:t>Auditors remuneration:</w:t>
            </w:r>
          </w:p>
        </w:tc>
        <w:tc>
          <w:tcPr>
            <w:tcW w:w="2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w w:val="91"/>
              </w:rPr>
              <w:t>For the years ended December 31,</w:t>
            </w:r>
          </w:p>
        </w:tc>
        <w:tc>
          <w:tcPr>
            <w:tcW w:w="2040" w:type="dxa"/>
            <w:vAlign w:val="bottom"/>
            <w:gridSpan w:val="2"/>
            <w:vMerge w:val="restart"/>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8"/>
          </w:tcPr>
          <w:p>
            <w:pPr>
              <w:jc w:val="right"/>
              <w:ind w:right="10"/>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jc w:val="right"/>
              <w:ind w:right="30"/>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6"/>
          </w:tcPr>
          <w:p>
            <w:pPr>
              <w:jc w:val="center"/>
              <w:ind w:right="280"/>
              <w:spacing w:after="0" w:line="158" w:lineRule="exact"/>
              <w:rPr>
                <w:sz w:val="20"/>
                <w:szCs w:val="20"/>
                <w:color w:val="auto"/>
              </w:rPr>
            </w:pPr>
            <w:r>
              <w:rPr>
                <w:rFonts w:ascii="Arial" w:cs="Arial" w:eastAsia="Arial" w:hAnsi="Arial"/>
                <w:sz w:val="14"/>
                <w:szCs w:val="14"/>
                <w:color w:val="auto"/>
                <w:w w:val="89"/>
              </w:rPr>
              <w:t>$000s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4"/>
          </w:tcPr>
          <w:p>
            <w:pPr>
              <w:jc w:val="right"/>
              <w:ind w:right="160"/>
              <w:spacing w:after="0" w:line="158"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Audit of these financial statements</w:t>
            </w:r>
          </w:p>
        </w:tc>
        <w:tc>
          <w:tcPr>
            <w:tcW w:w="2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870</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652</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Audit of the financial statements of subsidiaries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9"/>
              </w:rPr>
              <w:t>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Audit-related assurance services</w:t>
            </w: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Non-audit related services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778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9"/>
              </w:rPr>
              <w:t>159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Taxation</w:t>
            </w: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2,101</w:t>
            </w:r>
          </w:p>
        </w:tc>
        <w:tc>
          <w:tcPr>
            <w:tcW w:w="340" w:type="dxa"/>
            <w:vAlign w:val="bottom"/>
            <w:gridSpan w:val="3"/>
          </w:tcPr>
          <w:p>
            <w:pPr>
              <w:spacing w:after="0"/>
              <w:rPr>
                <w:sz w:val="19"/>
                <w:szCs w:val="19"/>
                <w:color w:val="auto"/>
              </w:rPr>
            </w:pPr>
          </w:p>
        </w:tc>
        <w:tc>
          <w:tcPr>
            <w:tcW w:w="4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gridSpan w:val="4"/>
          </w:tcPr>
          <w:p>
            <w:pPr>
              <w:ind w:left="420"/>
              <w:spacing w:after="0"/>
              <w:rPr>
                <w:sz w:val="20"/>
                <w:szCs w:val="20"/>
                <w:color w:val="auto"/>
              </w:rPr>
            </w:pPr>
            <w:r>
              <w:rPr>
                <w:rFonts w:ascii="Arial" w:cs="Arial" w:eastAsia="Arial" w:hAnsi="Arial"/>
                <w:sz w:val="18"/>
                <w:szCs w:val="18"/>
                <w:color w:val="auto"/>
              </w:rPr>
              <w:t>F-39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Note 8 for further disclosures related to share-based payments and Note 24 for management’s remuneration disclosures.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Share-based Payments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Share-based payments includes stock options, restricted stock units (“RSUs”) and performance-based restricted share unit awards in which the expense is recognized based on the grant date fair value of these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Group share-based payment expense for the years ended December 31, 2019, 2018 and 2017, were comprised of charges related to the PureTech Health plc incentive stock and stock option issuances and subsidiary stock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the classification of the Group’s consolidated share-based payment expense as reflected in the Consolidated Statement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Income/(Loss):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00" w:type="dxa"/>
            <w:vAlign w:val="bottom"/>
            <w:gridSpan w:val="2"/>
            <w:vMerge w:val="restart"/>
          </w:tcPr>
          <w:p>
            <w:pPr>
              <w:spacing w:after="0"/>
              <w:rPr>
                <w:sz w:val="20"/>
                <w:szCs w:val="20"/>
                <w:color w:val="auto"/>
              </w:rPr>
            </w:pPr>
            <w:r>
              <w:rPr>
                <w:rFonts w:ascii="Arial" w:cs="Arial" w:eastAsia="Arial" w:hAnsi="Arial"/>
                <w:sz w:val="14"/>
                <w:szCs w:val="14"/>
                <w:color w:val="auto"/>
                <w:w w:val="91"/>
              </w:rPr>
              <w:t>For the years ended December 31,</w:t>
            </w:r>
          </w:p>
        </w:tc>
        <w:tc>
          <w:tcPr>
            <w:tcW w:w="516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tcPr>
          <w:p>
            <w:pPr>
              <w:jc w:val="right"/>
              <w:ind w:right="95"/>
              <w:spacing w:after="0"/>
              <w:rPr>
                <w:sz w:val="20"/>
                <w:szCs w:val="20"/>
                <w:color w:val="auto"/>
              </w:rPr>
            </w:pPr>
            <w:r>
              <w:rPr>
                <w:rFonts w:ascii="Arial" w:cs="Arial" w:eastAsia="Arial" w:hAnsi="Arial"/>
                <w:sz w:val="14"/>
                <w:szCs w:val="14"/>
                <w:color w:val="auto"/>
              </w:rPr>
              <w:t>2018</w:t>
            </w:r>
          </w:p>
        </w:tc>
        <w:tc>
          <w:tcPr>
            <w:tcW w:w="1020" w:type="dxa"/>
            <w:vAlign w:val="bottom"/>
            <w:gridSpan w:val="2"/>
          </w:tcPr>
          <w:p>
            <w:pPr>
              <w:jc w:val="right"/>
              <w:ind w:right="95"/>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00" w:type="dxa"/>
            <w:vAlign w:val="bottom"/>
            <w:gridSpan w:val="2"/>
            <w:vMerge w:val="continue"/>
          </w:tcPr>
          <w:p>
            <w:pPr>
              <w:spacing w:after="0"/>
              <w:rPr>
                <w:sz w:val="15"/>
                <w:szCs w:val="15"/>
                <w:color w:val="auto"/>
              </w:rPr>
            </w:pPr>
          </w:p>
        </w:tc>
        <w:tc>
          <w:tcPr>
            <w:tcW w:w="456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4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color w:val="auto"/>
                <w:w w:val="89"/>
              </w:rPr>
              <w:t>$000s</w:t>
            </w:r>
          </w:p>
        </w:tc>
        <w:tc>
          <w:tcPr>
            <w:tcW w:w="400" w:type="dxa"/>
            <w:vAlign w:val="bottom"/>
          </w:tcPr>
          <w:p>
            <w:pPr>
              <w:spacing w:after="0"/>
              <w:rPr>
                <w:sz w:val="15"/>
                <w:szCs w:val="15"/>
                <w:color w:val="auto"/>
              </w:rPr>
            </w:pPr>
          </w:p>
        </w:tc>
        <w:tc>
          <w:tcPr>
            <w:tcW w:w="68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General and administrative</w:t>
            </w:r>
          </w:p>
        </w:tc>
        <w:tc>
          <w:tcPr>
            <w:tcW w:w="4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10,677</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5,293</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89"/>
              </w:rPr>
              <w:t>Research and development</w:t>
            </w:r>
          </w:p>
        </w:tc>
        <w:tc>
          <w:tcPr>
            <w:tcW w:w="4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5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14,468</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There was no income tax benefit recognized for share-based payment arrangements during the periods presented due to existence of operating losses for all issuing entities.</w:t>
      </w:r>
    </w:p>
    <w:p>
      <w:pPr>
        <w:spacing w:after="0" w:line="170"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conjunction with the acquisition of the remaining minority interests of Ariya Therapeutics Inc. (“Ariya”) (Please refer to Note 18), PureTech Health exchanged Ayria stock options previously granted to the co-inventors and advisors of Ariya with stock options to purchase 2,147,295 of the Company’s ordinary shares under the PureTech Health Performance Share Plan. As this was an exchange of awards within the consolidated group, whereby the Company’s stock options were replacing Ariya’s stock options, the exchange is accounted for as a modification of the original award and the incremental fair value on the date of the replacement is amortized over the remaining vesting period of the awards.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Performance Share Plan</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June 2015, the Group adopted the Performance Stock Plan (“PSP”). Under the PSP and subsequent amendments, awards of ordinary shares may be made to the Directors, senior managers and employees of, and other individuals providing services to the Company and its subsidiaries up to a maximum authorized amount of 10.0 percent of the total ordinary shares outstanding. The shares have various vesting terms over a period of service between two and four years, provided the recipient remains continuously engaged as a service provider.</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share-based awards granted under the PSP are equity settled and expire 10 years from the grant date. As of the years ended December 31, 2019, 2018 and 2017, the Company had issued share-based awards to purchase an aggregate of 5,409,751, 5,657,602 and 6,448,226 shares, respectively, under this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During the twelve months ended December 31, 2019, 2018 and 2017, the Company issued 1,775, 568, 2,860,782 and 4,648,084 performance based RSUs under the PSP, respectively.</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Each RSU entitles the holder to one ordinary share on vesting and the RSU awards are based on a cliff vesting schedule over a three-year requisite service period in which the Company recognizes compensation expense on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graded basis for the RSUs. Following vesting, each recipient will be required to make a payment of one pence per ordinary share on settlement of the RSUs. Vesting of the RSUs is subject to the satisfaction of performance conditions.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recognizes the estimated fair value of performance-based awards as share-based compensation expense over the performance period based upon its determination of whether it is probable that the performance targets will be achieved. The Company assesses the probability of achieving the performance targets at each reporting period. Cumulative adjustments, if any, are recorded to reflect subsequent changes in the estimated outcome of performance-related conditions.</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fair value of the performance-based awards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performance conditions attached to the 2019 RSU awards are based on the achievement of total shareholder return (“TSR”), with 50.0 percent of the shares under award vesting based on the achievement of absolute TSR targets, 12.5 percent of the shares under the award vesting based on TSR as compared to the FTSE 250 Index, 12.5 percent of the shares under the award vesting based on TSR as compared to the MSCI Europe Health Care Index, and 25.0 percent of the shares under the award vesting based on the achievement of strategic targets. The RSU award performance criteria have changed over time as the criteria is continually evaluated by the Group’s Remuneration Committee.</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incurred share-based payment expenses for performance based RSUs of $2.2 million, $2.3 million and $1.5 million for the twelve months ended December 31, 2019,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During the twelve months ended December 31, 2019, 2018 and 2017, the Company granted 3,634,183, 2,796,820 and 1,800,142 stock option awards under the PSP, respectively.</w:t>
      </w:r>
    </w:p>
    <w:p>
      <w:pPr>
        <w:spacing w:after="0" w:line="170"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color w:val="auto"/>
        </w:rPr>
        <w:t>The fair value of the stock options awarded by the Company was estimated at the grant date using the Black-Scholes option valuation model, considering the terms and conditions upon which options were granted, with the following weighted- average assumptions: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At December 31,</w:t>
            </w:r>
          </w:p>
        </w:tc>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color w:val="auto"/>
                <w:w w:val="89"/>
              </w:rPr>
              <w:t>2018</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color w:val="auto"/>
                <w:w w:val="89"/>
              </w:rPr>
              <w:t>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b w:val="1"/>
                <w:bCs w:val="1"/>
                <w:color w:val="auto"/>
                <w:w w:val="94"/>
              </w:rPr>
              <w:t>35.68%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88"/>
              </w:rPr>
              <w:t>44.18%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88"/>
              </w:rPr>
              <w:t>28.92%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Expected terms (in years)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color w:val="auto"/>
              </w:rPr>
              <w:t>Share price at grant date</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4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incurred share-based payment expense for the stock options of $9.2 million, $1.4 million and $0.6 million for the twelve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2018 and 2017, respectively. The significant increase for the year ended December 31, 2019, as compared to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is largely attributable to the amortization of share based payments awarded to the Ariya founders.</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2019, 4,229,793 incentive options are exercisable with a weighted-average exercise price of $1.42. Exercise prices ranged from $0.01 to $4.62.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PureTech LLC Incentive Stock Issuance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May 2015 and August 2014, the directors of PureTech Health LLC approved the issuance of shares to the management team, directors and advisors of PureTech Health LLC, subject to vesting restrictions. The share-based awards granted under the 2016 PureTech LLC Incentive Stock Issuance Plan are equity settled and expire 10 years from the grant date. No additional shares will be granted under this compensation arrangement. The fair value of the shares awarded was estimated as of the date of grant.</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incurred an expense of nil, $0.2 million, and $1.7 million in share-based payment expense for the twelve months ended December 31, 2019, 2018 and 2017, respectively, related to PureTech Health LLC incentive compensation.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2018, all shares related to the pre-IPO incentive compensation plan had fully vested.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Subsidiary Plans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Certain subsidiaries of the Group have adopted stock option plans. A summary of stock option activity by number of shares in these subsidiaries is presented in the following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Granted</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Exercised</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Expired</w:t>
            </w:r>
          </w:p>
        </w:tc>
        <w:tc>
          <w:tcPr>
            <w:tcW w:w="120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3"/>
              </w:rPr>
              <w:t>Forfeited</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 of</w:t>
            </w:r>
          </w:p>
        </w:tc>
        <w:tc>
          <w:tcPr>
            <w:tcW w:w="10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During the</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During</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During</w:t>
            </w:r>
          </w:p>
        </w:tc>
        <w:tc>
          <w:tcPr>
            <w:tcW w:w="12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During the</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the Year</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 Year</w:t>
            </w:r>
          </w:p>
        </w:tc>
        <w:tc>
          <w:tcPr>
            <w:tcW w:w="12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Gelesis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3,681,732</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80"/>
              </w:rPr>
              <w:t>(110,386)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(3,571,346)</w:t>
            </w:r>
          </w:p>
        </w:tc>
        <w:tc>
          <w:tcPr>
            <w:tcW w:w="2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¹</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Alivio</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2,393,750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1,329,494</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(3,125)</w:t>
            </w:r>
          </w:p>
        </w:tc>
        <w:tc>
          <w:tcPr>
            <w:tcW w:w="9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(21,875)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3,698,244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PureTech LYT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2,180,000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(2,180,000)²</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Commense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540,416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(540,416)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Entrega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914,000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58,000</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972,000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Follica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1,229,452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79,588</w:t>
            </w:r>
          </w:p>
        </w:tc>
        <w:tc>
          <w:tcPr>
            <w:tcW w:w="8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1,309,040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Karuna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1,949,927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(1,949,927)¹</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Sonde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22,500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1,806,504</w:t>
            </w:r>
          </w:p>
        </w:tc>
        <w:tc>
          <w:tcPr>
            <w:tcW w:w="8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1,829,004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Vedanta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1,373,750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154,193</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(77,843)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1,450,100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These shares represent the options outstanding on the date of deconsolidation of Karuna and Gelesis.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These shares represent the options outstanding on the date of exchange to PureTech stock options.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Outstanding</w:t>
            </w:r>
          </w:p>
        </w:tc>
      </w:tr>
      <w:tr>
        <w:trPr>
          <w:trHeight w:val="148"/>
        </w:trPr>
        <w:tc>
          <w:tcPr>
            <w:tcW w:w="48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as of</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Granted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Exercised</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Expired</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Forfeited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as of</w:t>
            </w:r>
          </w:p>
        </w:tc>
      </w:tr>
      <w:tr>
        <w:trPr>
          <w:trHeight w:val="148"/>
        </w:trPr>
        <w:tc>
          <w:tcPr>
            <w:tcW w:w="48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January 1,</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During the</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During</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During</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During the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4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Year</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the Year</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the Year</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87"/>
              </w:rPr>
              <w:t>Year</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8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Gelesis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2,728,232</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953,500</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3,681,732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Alivio</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2,393,750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2,393,750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Akili</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2,385,355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(2,385,355)¹</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PureTech LYT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2,180,000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2,180,000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Commense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418,750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121,666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540,416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Entrega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867,750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(3,750)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914,000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Follica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1,271,302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(41,850)</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1,229,452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Karuna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855,427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1,111,000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(4,125)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(12,375)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1,949,927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Knode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32,500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(32,500)</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Sonde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35,000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(6,250)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(6,250)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22,500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1,663,806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(30,250)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1,630,806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The Sync Project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1,080,000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(1,080,000)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Vedanta</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1,194,014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278,786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(24,800)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(74,250)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1,373,750</w:t>
            </w:r>
          </w:p>
        </w:tc>
      </w:tr>
    </w:tbl>
    <w:p>
      <w:pPr>
        <w:spacing w:after="0" w:line="229" w:lineRule="exact"/>
        <w:rPr>
          <w:sz w:val="20"/>
          <w:szCs w:val="20"/>
          <w:color w:val="auto"/>
        </w:rPr>
      </w:pPr>
    </w:p>
    <w:p>
      <w:pPr>
        <w:ind w:left="5460" w:right="4440" w:hanging="5344"/>
        <w:spacing w:after="0" w:line="535" w:lineRule="auto"/>
        <w:tabs>
          <w:tab w:leader="none" w:pos="554" w:val="left"/>
        </w:tabs>
        <w:numPr>
          <w:ilvl w:val="0"/>
          <w:numId w:val="213"/>
        </w:numPr>
        <w:rPr>
          <w:rFonts w:ascii="Arial" w:cs="Arial" w:eastAsia="Arial" w:hAnsi="Arial"/>
          <w:sz w:val="13"/>
          <w:szCs w:val="13"/>
          <w:color w:val="auto"/>
        </w:rPr>
      </w:pPr>
      <w:r>
        <w:rPr>
          <w:rFonts w:ascii="Arial" w:cs="Arial" w:eastAsia="Arial" w:hAnsi="Arial"/>
          <w:sz w:val="16"/>
          <w:szCs w:val="16"/>
          <w:color w:val="auto"/>
        </w:rPr>
        <w:t>These shares represent the options outstanding on the date of Akili’s deconsolidation. F-42</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Outstanding</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Outstanding</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as of</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Granted</w:t>
            </w:r>
          </w:p>
        </w:tc>
        <w:tc>
          <w:tcPr>
            <w:tcW w:w="14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Exercised</w:t>
            </w: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Expired</w:t>
            </w: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7"/>
              </w:rPr>
              <w:t>Forfeited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January 1,</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During the</w:t>
            </w:r>
          </w:p>
        </w:tc>
        <w:tc>
          <w:tcPr>
            <w:tcW w:w="14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6"/>
              </w:rPr>
              <w:t>During</w:t>
            </w: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During the</w:t>
            </w: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During the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600" w:type="dxa"/>
            <w:vAlign w:val="bottom"/>
            <w:gridSpan w:val="3"/>
          </w:tcPr>
          <w:p>
            <w:pPr>
              <w:jc w:val="center"/>
              <w:ind w:left="3652"/>
              <w:spacing w:after="0"/>
              <w:rPr>
                <w:sz w:val="20"/>
                <w:szCs w:val="20"/>
                <w:color w:val="auto"/>
              </w:rPr>
            </w:pPr>
            <w:r>
              <w:rPr>
                <w:rFonts w:ascii="Arial" w:cs="Arial" w:eastAsia="Arial" w:hAnsi="Arial"/>
                <w:sz w:val="14"/>
                <w:szCs w:val="14"/>
                <w:color w:val="auto"/>
                <w:w w:val="96"/>
              </w:rPr>
              <w:t>2017</w:t>
            </w:r>
          </w:p>
        </w:tc>
        <w:tc>
          <w:tcPr>
            <w:tcW w:w="16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Year</w:t>
            </w:r>
          </w:p>
        </w:tc>
        <w:tc>
          <w:tcPr>
            <w:tcW w:w="14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the Year</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Year</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color w:val="auto"/>
                <w:w w:val="87"/>
              </w:rPr>
              <w:t>Year</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Gelesis</w:t>
            </w:r>
          </w:p>
        </w:tc>
        <w:tc>
          <w:tcPr>
            <w:tcW w:w="1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2,489,031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(58,299)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Alivio</w:t>
            </w: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2,393,750</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2,393,750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Akili</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1,599,423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795,432</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(9,500)</w:t>
            </w: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2,385,355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PureTech LYT</w:t>
            </w: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Commense</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18,750</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418,750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Entrega</w:t>
            </w:r>
          </w:p>
        </w:tc>
        <w:tc>
          <w:tcPr>
            <w:tcW w:w="4760" w:type="dxa"/>
            <w:vAlign w:val="bottom"/>
            <w:gridSpan w:val="4"/>
          </w:tcPr>
          <w:p>
            <w:pPr>
              <w:jc w:val="right"/>
              <w:ind w:right="160"/>
              <w:spacing w:after="0"/>
              <w:rPr>
                <w:sz w:val="20"/>
                <w:szCs w:val="20"/>
                <w:color w:val="auto"/>
              </w:rPr>
            </w:pPr>
            <w:r>
              <w:rPr>
                <w:rFonts w:ascii="Arial" w:cs="Arial" w:eastAsia="Arial" w:hAnsi="Arial"/>
                <w:sz w:val="18"/>
                <w:szCs w:val="18"/>
                <w:color w:val="auto"/>
              </w:rPr>
              <w:t>821,500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52,500</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(6,250)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867,750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Follica</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449,505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1,119,283</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(190,059)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(107,427)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1,271,302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Karuna</w:t>
            </w:r>
          </w:p>
        </w:tc>
        <w:tc>
          <w:tcPr>
            <w:tcW w:w="4760" w:type="dxa"/>
            <w:vAlign w:val="bottom"/>
            <w:gridSpan w:val="4"/>
          </w:tcPr>
          <w:p>
            <w:pPr>
              <w:jc w:val="right"/>
              <w:ind w:right="160"/>
              <w:spacing w:after="0"/>
              <w:rPr>
                <w:sz w:val="20"/>
                <w:szCs w:val="20"/>
                <w:color w:val="auto"/>
              </w:rPr>
            </w:pPr>
            <w:r>
              <w:rPr>
                <w:rFonts w:ascii="Arial" w:cs="Arial" w:eastAsia="Arial" w:hAnsi="Arial"/>
                <w:sz w:val="18"/>
                <w:szCs w:val="18"/>
                <w:color w:val="auto"/>
              </w:rPr>
              <w:t>742,677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112,750</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855,427</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Knode</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(45,000)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Sonde</w:t>
            </w: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57,500</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(4,687)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(17,813)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Tal</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1,763,806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1,663,806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The Sync Project</w:t>
            </w:r>
          </w:p>
        </w:tc>
        <w:tc>
          <w:tcPr>
            <w:tcW w:w="4760" w:type="dxa"/>
            <w:vAlign w:val="bottom"/>
            <w:gridSpan w:val="4"/>
          </w:tcPr>
          <w:p>
            <w:pPr>
              <w:jc w:val="right"/>
              <w:ind w:right="160"/>
              <w:spacing w:after="0"/>
              <w:rPr>
                <w:sz w:val="20"/>
                <w:szCs w:val="20"/>
                <w:color w:val="auto"/>
              </w:rPr>
            </w:pPr>
            <w:r>
              <w:rPr>
                <w:rFonts w:ascii="Arial" w:cs="Arial" w:eastAsia="Arial" w:hAnsi="Arial"/>
                <w:sz w:val="18"/>
                <w:szCs w:val="18"/>
                <w:color w:val="auto"/>
              </w:rPr>
              <w:t>850,000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230,000</w:t>
            </w:r>
          </w:p>
        </w:tc>
        <w:tc>
          <w:tcPr>
            <w:tcW w:w="14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Vedanta</w:t>
            </w:r>
          </w:p>
        </w:tc>
        <w:tc>
          <w:tcPr>
            <w:tcW w:w="4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882,250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359,764</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(11,438)</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(36,562)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1,194,014</w:t>
            </w:r>
          </w:p>
        </w:tc>
        <w:tc>
          <w:tcPr>
            <w:tcW w:w="0" w:type="dxa"/>
            <w:vAlign w:val="bottom"/>
          </w:tcPr>
          <w:p>
            <w:pPr>
              <w:spacing w:after="0"/>
              <w:rPr>
                <w:sz w:val="1"/>
                <w:szCs w:val="1"/>
                <w:color w:val="auto"/>
              </w:rPr>
            </w:pPr>
          </w:p>
        </w:tc>
      </w:tr>
      <w:tr>
        <w:trPr>
          <w:trHeight w:val="432"/>
        </w:trPr>
        <w:tc>
          <w:tcPr>
            <w:tcW w:w="7980" w:type="dxa"/>
            <w:vAlign w:val="bottom"/>
            <w:gridSpan w:val="11"/>
          </w:tcPr>
          <w:p>
            <w:pPr>
              <w:spacing w:after="0"/>
              <w:rPr>
                <w:sz w:val="20"/>
                <w:szCs w:val="20"/>
                <w:color w:val="auto"/>
              </w:rPr>
            </w:pPr>
            <w:r>
              <w:rPr>
                <w:rFonts w:ascii="Arial" w:cs="Arial" w:eastAsia="Arial" w:hAnsi="Arial"/>
                <w:sz w:val="18"/>
                <w:szCs w:val="18"/>
                <w:color w:val="auto"/>
                <w:w w:val="95"/>
              </w:rPr>
              <w:t>The weighted average exercise prices for the options outstanding as of January 1, 2019 were as follows: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24"/>
                <w:szCs w:val="24"/>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0" w:type="dxa"/>
            <w:vAlign w:val="bottom"/>
            <w:vMerge w:val="restart"/>
          </w:tcPr>
          <w:p>
            <w:pPr>
              <w:spacing w:after="0"/>
              <w:rPr>
                <w:sz w:val="20"/>
                <w:szCs w:val="20"/>
                <w:color w:val="auto"/>
              </w:rPr>
            </w:pPr>
            <w:r>
              <w:rPr>
                <w:rFonts w:ascii="Arial" w:cs="Arial" w:eastAsia="Arial" w:hAnsi="Arial"/>
                <w:sz w:val="14"/>
                <w:szCs w:val="14"/>
                <w:color w:val="auto"/>
                <w:w w:val="91"/>
              </w:rPr>
              <w:t>Outstanding at January 1, 2019</w:t>
            </w:r>
          </w:p>
        </w:tc>
        <w:tc>
          <w:tcPr>
            <w:tcW w:w="2960" w:type="dxa"/>
            <w:vAlign w:val="bottom"/>
            <w:gridSpan w:val="3"/>
            <w:vMerge w:val="restart"/>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ind w:right="413"/>
              <w:spacing w:after="0" w:line="158"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Alivio</w:t>
            </w:r>
          </w:p>
        </w:tc>
        <w:tc>
          <w:tcPr>
            <w:tcW w:w="8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2,393,750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b w:val="1"/>
                <w:bCs w:val="1"/>
                <w:color w:val="auto"/>
                <w:w w:val="85"/>
              </w:rPr>
              <w:t>0.03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Entrega</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914,000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b w:val="1"/>
                <w:bCs w:val="1"/>
                <w:color w:val="auto"/>
                <w:w w:val="85"/>
              </w:rPr>
              <w:t>0.71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Follica</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1,229,452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85"/>
              </w:rPr>
              <w:t>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Sonde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22,500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b w:val="1"/>
                <w:bCs w:val="1"/>
                <w:color w:val="auto"/>
                <w:w w:val="85"/>
              </w:rPr>
              <w:t>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Vedanta</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1,373,750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85"/>
              </w:rPr>
              <w:t>9.30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exercise prices for the options granted for the years ended December 31, 2019, 2018 and 2017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color w:val="auto"/>
                <w:w w:val="91"/>
              </w:rPr>
              <w:t>For the years ended December 31,</w:t>
            </w:r>
          </w:p>
        </w:tc>
        <w:tc>
          <w:tcPr>
            <w:tcW w:w="5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5520" w:type="dxa"/>
            <w:vAlign w:val="bottom"/>
            <w:gridSpan w:val="2"/>
          </w:tcPr>
          <w:p>
            <w:pPr>
              <w:jc w:val="right"/>
              <w:ind w:right="130"/>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48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50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Akili</w:t>
            </w:r>
          </w:p>
        </w:tc>
        <w:tc>
          <w:tcPr>
            <w:tcW w:w="50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Alivio</w:t>
            </w:r>
          </w:p>
        </w:tc>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0.49</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PureTech LYT</w:t>
            </w:r>
          </w:p>
        </w:tc>
        <w:tc>
          <w:tcPr>
            <w:tcW w:w="5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Commense</w:t>
            </w:r>
          </w:p>
        </w:tc>
        <w:tc>
          <w:tcPr>
            <w:tcW w:w="50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Entrega</w:t>
            </w:r>
          </w:p>
        </w:tc>
        <w:tc>
          <w:tcPr>
            <w:tcW w:w="5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Follica</w:t>
            </w:r>
          </w:p>
        </w:tc>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0.03</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Karuna</w:t>
            </w:r>
          </w:p>
        </w:tc>
        <w:tc>
          <w:tcPr>
            <w:tcW w:w="5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Sonde</w:t>
            </w:r>
          </w:p>
        </w:tc>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0.20</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Sync</w:t>
            </w:r>
          </w:p>
        </w:tc>
        <w:tc>
          <w:tcPr>
            <w:tcW w:w="5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Arial" w:cs="Arial" w:eastAsia="Arial" w:hAnsi="Arial"/>
                <w:sz w:val="18"/>
                <w:szCs w:val="18"/>
                <w:color w:val="auto"/>
              </w:rPr>
              <w:t>Vedanta</w:t>
            </w:r>
          </w:p>
        </w:tc>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19.13</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14.66</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00" w:type="dxa"/>
            <w:vAlign w:val="bottom"/>
          </w:tcPr>
          <w:p>
            <w:pPr>
              <w:spacing w:after="0"/>
              <w:rPr>
                <w:sz w:val="24"/>
                <w:szCs w:val="24"/>
                <w:color w:val="auto"/>
              </w:rPr>
            </w:pPr>
          </w:p>
        </w:tc>
        <w:tc>
          <w:tcPr>
            <w:tcW w:w="5860" w:type="dxa"/>
            <w:vAlign w:val="bottom"/>
            <w:gridSpan w:val="3"/>
          </w:tcPr>
          <w:p>
            <w:pPr>
              <w:ind w:left="2460"/>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exercise prices for options forfeited during the year ended December 31, 2019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2980" w:type="dxa"/>
            <w:vAlign w:val="bottom"/>
            <w:vMerge w:val="restart"/>
          </w:tcPr>
          <w:p>
            <w:pPr>
              <w:spacing w:after="0"/>
              <w:rPr>
                <w:sz w:val="20"/>
                <w:szCs w:val="20"/>
                <w:color w:val="auto"/>
              </w:rPr>
            </w:pPr>
            <w:r>
              <w:rPr>
                <w:rFonts w:ascii="Arial" w:cs="Arial" w:eastAsia="Arial" w:hAnsi="Arial"/>
                <w:sz w:val="14"/>
                <w:szCs w:val="14"/>
                <w:color w:val="auto"/>
                <w:w w:val="91"/>
              </w:rPr>
              <w:t>Forfeited during the year ended December 31, 2019</w:t>
            </w:r>
          </w:p>
        </w:tc>
        <w:tc>
          <w:tcPr>
            <w:tcW w:w="26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auto"/>
            </w:tcBorders>
            <w:vMerge w:val="continue"/>
          </w:tcPr>
          <w:p>
            <w:pPr>
              <w:spacing w:after="0"/>
              <w:rPr>
                <w:sz w:val="15"/>
                <w:szCs w:val="15"/>
                <w:color w:val="auto"/>
              </w:rPr>
            </w:pPr>
          </w:p>
        </w:tc>
        <w:tc>
          <w:tcPr>
            <w:tcW w:w="2680" w:type="dxa"/>
            <w:vAlign w:val="bottom"/>
          </w:tcPr>
          <w:p>
            <w:pPr>
              <w:spacing w:after="0"/>
              <w:rPr>
                <w:sz w:val="15"/>
                <w:szCs w:val="15"/>
                <w:color w:val="auto"/>
              </w:rPr>
            </w:pPr>
          </w:p>
        </w:tc>
        <w:tc>
          <w:tcPr>
            <w:tcW w:w="15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0"/>
              </w:rPr>
              <w:t>options</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Gelesis</w:t>
            </w:r>
          </w:p>
        </w:tc>
        <w:tc>
          <w:tcPr>
            <w:tcW w:w="2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3,571,346</w:t>
            </w:r>
          </w:p>
        </w:tc>
        <w:tc>
          <w:tcPr>
            <w:tcW w:w="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b w:val="1"/>
                <w:bCs w:val="1"/>
                <w:color w:val="auto"/>
                <w:w w:val="79"/>
              </w:rPr>
              <w:t>7.48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Alivio</w:t>
            </w:r>
          </w:p>
        </w:tc>
        <w:tc>
          <w:tcPr>
            <w:tcW w:w="42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21,875</w:t>
            </w:r>
          </w:p>
        </w:tc>
        <w:tc>
          <w:tcPr>
            <w:tcW w:w="116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0.49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PureTech LYT</w:t>
            </w:r>
          </w:p>
        </w:tc>
        <w:tc>
          <w:tcPr>
            <w:tcW w:w="42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2,180,000</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w w:val="91"/>
              </w:rPr>
              <w:t>0.01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Commense</w:t>
            </w:r>
          </w:p>
        </w:tc>
        <w:tc>
          <w:tcPr>
            <w:tcW w:w="42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540,416</w:t>
            </w:r>
          </w:p>
        </w:tc>
        <w:tc>
          <w:tcPr>
            <w:tcW w:w="116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0.13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Karuna</w:t>
            </w:r>
          </w:p>
        </w:tc>
        <w:tc>
          <w:tcPr>
            <w:tcW w:w="42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1,949,927</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w w:val="91"/>
              </w:rPr>
              <w:t>5.10</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color w:val="auto"/>
              </w:rPr>
              <w:t>Vedanta</w:t>
            </w:r>
          </w:p>
        </w:tc>
        <w:tc>
          <w:tcPr>
            <w:tcW w:w="42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77,843</w:t>
            </w:r>
          </w:p>
        </w:tc>
        <w:tc>
          <w:tcPr>
            <w:tcW w:w="116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1.31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exercise prices for options exercisable as of December 31, 2019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76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Weighted-average</w:t>
            </w:r>
          </w:p>
        </w:tc>
        <w:tc>
          <w:tcPr>
            <w:tcW w:w="660" w:type="dxa"/>
            <w:vAlign w:val="bottom"/>
          </w:tcPr>
          <w:p>
            <w:pPr>
              <w:spacing w:after="0"/>
              <w:rPr>
                <w:sz w:val="14"/>
                <w:szCs w:val="14"/>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Arial" w:cs="Arial" w:eastAsia="Arial" w:hAnsi="Arial"/>
                <w:sz w:val="14"/>
                <w:szCs w:val="14"/>
                <w:color w:val="auto"/>
                <w:w w:val="92"/>
              </w:rPr>
              <w:t>Exercisable at December 31, 2019</w:t>
            </w:r>
          </w:p>
        </w:tc>
        <w:tc>
          <w:tcPr>
            <w:tcW w:w="29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2940" w:type="dxa"/>
            <w:vAlign w:val="bottom"/>
          </w:tcPr>
          <w:p>
            <w:pPr>
              <w:spacing w:after="0"/>
              <w:rPr>
                <w:sz w:val="15"/>
                <w:szCs w:val="15"/>
                <w:color w:val="auto"/>
              </w:rPr>
            </w:pPr>
          </w:p>
        </w:tc>
        <w:tc>
          <w:tcPr>
            <w:tcW w:w="780" w:type="dxa"/>
            <w:vAlign w:val="bottom"/>
          </w:tcPr>
          <w:p>
            <w:pPr>
              <w:jc w:val="right"/>
              <w:ind w:right="82"/>
              <w:spacing w:after="0" w:line="158" w:lineRule="exact"/>
              <w:rPr>
                <w:sz w:val="20"/>
                <w:szCs w:val="20"/>
                <w:color w:val="auto"/>
              </w:rPr>
            </w:pPr>
            <w:r>
              <w:rPr>
                <w:rFonts w:ascii="Arial" w:cs="Arial" w:eastAsia="Arial" w:hAnsi="Arial"/>
                <w:sz w:val="14"/>
                <w:szCs w:val="14"/>
                <w:b w:val="1"/>
                <w:bCs w:val="1"/>
                <w:color w:val="auto"/>
              </w:rPr>
              <w:t>Options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435"/>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1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Alivio</w:t>
            </w:r>
          </w:p>
        </w:tc>
        <w:tc>
          <w:tcPr>
            <w:tcW w:w="29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1,419,750</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0.04</w:t>
            </w:r>
          </w:p>
        </w:tc>
        <w:tc>
          <w:tcPr>
            <w:tcW w:w="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3"/>
              </w:rPr>
              <w:t>$ 0.03 - $0.49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Entrega</w:t>
            </w:r>
          </w:p>
        </w:tc>
        <w:tc>
          <w:tcPr>
            <w:tcW w:w="3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882,062</w:t>
            </w:r>
          </w:p>
        </w:tc>
        <w:tc>
          <w:tcPr>
            <w:tcW w:w="76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$ 0.03 - $2.36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Follica</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1,118,635</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$ 0.03 - $1.40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Sonde</w:t>
            </w:r>
          </w:p>
        </w:tc>
        <w:tc>
          <w:tcPr>
            <w:tcW w:w="3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191,405</w:t>
            </w:r>
          </w:p>
        </w:tc>
        <w:tc>
          <w:tcPr>
            <w:tcW w:w="76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$ 0.13 - $0.20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Vedanta</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1,081,005</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$0.02 - $19.94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Subsidiary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Vedanta 2010 Stock Incentive Plan</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2010, the Board of Directors for Vedanta approved the 2010 Stock Incentive Plan (the “Vedanta Plan”). Through subsequent amendments, as of December 31, 2019, it allowed for the issuance of 2,145,867 share-based compensation awards through incentive share options, nonqualified share options, and restricted shares to employees, directors, and nonemployees providing services to Vedanta. At December 31, 2019, 595,642 shares remained available for issuance under the Vedanta Plan.</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options granted under Vedanta Plan are equity settled and expire 10 years from the grant date. Typically, the awards vest in four years but vesting conditions can vary based on the discretion of Vedanta’s Board of Directors.</w:t>
      </w:r>
    </w:p>
    <w:p>
      <w:pPr>
        <w:spacing w:after="0" w:line="17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Options granted under the Vedanta Plan are exercisable at a price per share not less than the fair market value of the underlying ordinary shares on the date of grant. The estimated fair value of options, including the effect of estimated forfeitures, is recognized over the options’ vesting period.</w:t>
      </w:r>
    </w:p>
    <w:p>
      <w:pPr>
        <w:spacing w:after="0" w:line="12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of the stock option grants has been estimated at the date of grant using the Black-Scholes option pricing model with the following range of assumptions: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760" w:type="dxa"/>
            <w:vAlign w:val="bottom"/>
            <w:gridSpan w:val="2"/>
          </w:tcPr>
          <w:p>
            <w:pPr>
              <w:spacing w:after="0"/>
              <w:rPr>
                <w:sz w:val="20"/>
                <w:szCs w:val="20"/>
                <w:color w:val="auto"/>
              </w:rPr>
            </w:pPr>
            <w:r>
              <w:rPr>
                <w:rFonts w:ascii="Arial" w:cs="Arial" w:eastAsia="Arial" w:hAnsi="Arial"/>
                <w:sz w:val="14"/>
                <w:szCs w:val="14"/>
                <w:color w:val="auto"/>
              </w:rPr>
              <w:t>Assumption/Input</w:t>
            </w:r>
          </w:p>
        </w:tc>
        <w:tc>
          <w:tcPr>
            <w:tcW w:w="1700" w:type="dxa"/>
            <w:vAlign w:val="bottom"/>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640" w:type="dxa"/>
            <w:vAlign w:val="bottom"/>
          </w:tcPr>
          <w:p>
            <w:pPr>
              <w:jc w:val="right"/>
              <w:ind w:right="593"/>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1420" w:type="dxa"/>
            <w:vAlign w:val="bottom"/>
          </w:tcPr>
          <w:p>
            <w:pPr>
              <w:jc w:val="right"/>
              <w:ind w:right="47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award life (in years)</w:t>
            </w:r>
          </w:p>
        </w:tc>
        <w:tc>
          <w:tcPr>
            <w:tcW w:w="1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5.86-6.07</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6.03-6.16</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5.66-10.00</w:t>
            </w:r>
          </w:p>
        </w:tc>
        <w:tc>
          <w:tcPr>
            <w:tcW w:w="80" w:type="dxa"/>
            <w:vAlign w:val="bottom"/>
            <w:shd w:val="clear" w:color="auto" w:fill="CCEEFF"/>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Expected award price volatility</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89.24% - 95.46%</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91.60% - 92.56%</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66.0% - 76.0%</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1.73% - 1.88%</w:t>
            </w: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 - 2.78%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 - 2.37%</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gridSpan w:val="2"/>
          </w:tcPr>
          <w:p>
            <w:pPr>
              <w:ind w:left="1420"/>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$14.12 - $15.61</w:t>
            </w: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$11.21 - $11.26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$6.76 - $9.01</w:t>
            </w: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color w:val="auto"/>
              </w:rPr>
              <w:t>Share price at grant date</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$18.71 - $19.94</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$14.66</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r>
      <w:tr>
        <w:trPr>
          <w:trHeight w:val="346"/>
        </w:trPr>
        <w:tc>
          <w:tcPr>
            <w:tcW w:w="1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color w:val="auto"/>
              </w:rPr>
              <w:t>F-44</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Vedanta incurred share-based compensation expense of $1.7 million, $2.1 million and $2.4 million for the years ended December 31, 2019,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Gelesis 2016 Stock Incentive Plan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September 2016, the Directors of Gelesis approved the 2016 Stock Incentive Plan (the “2016 Gelesis Plan”) which provides for the grant of incentive stock options, nonqualified stock options, and restricted stock to employees, directors, and nonemployees providing services to Gelesis. At June 30, 2019, 329,559 shares remained available for issuance under the Gelesis Plan.</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options granted under the 2016 Gelesis Plan are equity settled and expire 10 years from the grant date. Typically, the awards vest in four years but vesting conditions can vary based on the discretion of Gelesis Board of Directors.</w:t>
      </w:r>
    </w:p>
    <w:p>
      <w:pPr>
        <w:spacing w:after="0" w:line="17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Options granted under the 2016 Gelesis Plan are exercisable at a price per share not less than the fair market value of the underlying ordinary shares on the date of grant. The estimated fair value of options, including the effect of estimated forfeitures, is recognized over the options’ vesting period.</w:t>
      </w:r>
    </w:p>
    <w:p>
      <w:pPr>
        <w:spacing w:after="0" w:line="12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fair value of the stock option grants has been estimated at the date of grant using the Black-Scholes option pricing model with the following weighted average assumptions: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Assumption/Input</w:t>
            </w:r>
          </w:p>
        </w:tc>
        <w:tc>
          <w:tcPr>
            <w:tcW w:w="322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color w:val="auto"/>
                <w:w w:val="89"/>
              </w:rPr>
              <w:t>2018</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color w:val="auto"/>
                <w:w w:val="89"/>
              </w:rPr>
              <w:t>2017</w:t>
            </w:r>
          </w:p>
        </w:tc>
        <w:tc>
          <w:tcPr>
            <w:tcW w:w="200" w:type="dxa"/>
            <w:vAlign w:val="bottom"/>
          </w:tcPr>
          <w:p>
            <w:pPr>
              <w:spacing w:after="0"/>
              <w:rPr>
                <w:sz w:val="16"/>
                <w:szCs w:val="16"/>
                <w:color w:val="auto"/>
              </w:rPr>
            </w:pP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award life (in years)</w:t>
            </w:r>
          </w:p>
        </w:tc>
        <w:tc>
          <w:tcPr>
            <w:tcW w:w="2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6.22</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5.68</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Expected award price volatility</w:t>
            </w:r>
          </w:p>
        </w:tc>
        <w:tc>
          <w:tcPr>
            <w:tcW w:w="202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64.58%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67.99%</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2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18"/>
                <w:szCs w:val="18"/>
                <w:color w:val="auto"/>
              </w:rPr>
            </w:pP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color w:val="auto"/>
              </w:rPr>
              <w:t>Share price at grant date</w:t>
            </w:r>
          </w:p>
        </w:tc>
        <w:tc>
          <w:tcPr>
            <w:tcW w:w="28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12.82</w:t>
            </w:r>
          </w:p>
        </w:tc>
        <w:tc>
          <w:tcPr>
            <w:tcW w:w="4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11.56</w:t>
            </w:r>
          </w:p>
        </w:tc>
        <w:tc>
          <w:tcPr>
            <w:tcW w:w="200" w:type="dxa"/>
            <w:vAlign w:val="bottom"/>
          </w:tcPr>
          <w:p>
            <w:pPr>
              <w:spacing w:after="0"/>
              <w:rPr>
                <w:sz w:val="20"/>
                <w:szCs w:val="20"/>
                <w:color w:val="auto"/>
              </w:rPr>
            </w:pPr>
          </w:p>
        </w:tc>
      </w:tr>
    </w:tbl>
    <w:p>
      <w:pPr>
        <w:spacing w:after="0" w:line="183"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Gelesis used an average historical share price volatility based on an analysis of reported data for a peer group of comparable companies which were selected based upon industry similarities. As there is not sufficient historical share exercise data to calculate the expected term of the options, Gelesis elected to use the “simplified” method for all options granted at the money to value share option grants. Under this approach, the weighted average expected life is presumed to be the average of the vesting term and the contractual term of the option.</w:t>
      </w:r>
    </w:p>
    <w:p>
      <w:pPr>
        <w:spacing w:after="0" w:line="17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Gelesis incurred share-based compensation expense of $2.4 million for the six month period prior to deconsolidation ended June 30, 2019 and $3.9 million and $4.2 million for the years ended December 31, 2018 and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Karuna Pharmaceuticals, Inc. 2009 Stock Incentive Plan</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2009, the Board of Directors for Karuna Pharmaceuticals, Inc. approved the 2009 Stock Incentive Plan (the “Karuna 2009 Plan”). It allowed for the issuance of 1,000,000 share-based compensation awards through stock options, restricted stock units and other stock-based awards under the Karuna 2009 Plan to employees, officers, directors, consultants and advisors of Karuna. At March 15, 2019, 106,865 shares remained available for issuance under the Karuna 2009 Plan.</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options granted under the Karuna 2009 Plan are equity settled and expire 10 years from the grant date. Typically, the awards vest in four years but vesting conditions can vary based on the discretion of Karuna’s Board of Directors.</w:t>
      </w:r>
    </w:p>
    <w:p>
      <w:pPr>
        <w:spacing w:after="0" w:line="17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Options granted under the Karuna 2009 Plan are exercisable at a price per share not less than the fair market value of the underlying ordinary shares on the date of grant. The estimated fair value of options, including the effect of estimated forfeitures, is recognized over the options’ vesting period.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60"/>
          </w:cols>
          <w:pgMar w:left="320" w:top="459" w:right="51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fair value of the stock option grants has been estimated at the date of grant using the Black-Scholes option pricing model with the following weighted average assumptions: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Assumption/Input</w:t>
            </w:r>
          </w:p>
        </w:tc>
        <w:tc>
          <w:tcPr>
            <w:tcW w:w="324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color w:val="auto"/>
                <w:w w:val="89"/>
              </w:rPr>
              <w:t>2018</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color w:val="auto"/>
                <w:w w:val="89"/>
              </w:rPr>
              <w:t>2017</w:t>
            </w:r>
          </w:p>
        </w:tc>
        <w:tc>
          <w:tcPr>
            <w:tcW w:w="200" w:type="dxa"/>
            <w:vAlign w:val="bottom"/>
          </w:tcPr>
          <w:p>
            <w:pPr>
              <w:spacing w:after="0"/>
              <w:rPr>
                <w:sz w:val="16"/>
                <w:szCs w:val="16"/>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award life (in years)</w:t>
            </w:r>
          </w:p>
        </w:tc>
        <w:tc>
          <w:tcPr>
            <w:tcW w:w="20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5.67</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6.07</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Expected award price volatility</w:t>
            </w:r>
          </w:p>
        </w:tc>
        <w:tc>
          <w:tcPr>
            <w:tcW w:w="20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49.66%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50.28%</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2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color w:val="auto"/>
              </w:rPr>
              <w:t>Share price at grant date</w:t>
            </w:r>
          </w:p>
        </w:tc>
        <w:tc>
          <w:tcPr>
            <w:tcW w:w="28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9.40</w:t>
            </w:r>
          </w:p>
        </w:tc>
        <w:tc>
          <w:tcPr>
            <w:tcW w:w="4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20"/>
                <w:szCs w:val="20"/>
                <w:color w:val="auto"/>
              </w:rPr>
            </w:pPr>
          </w:p>
        </w:tc>
      </w:tr>
    </w:tbl>
    <w:p>
      <w:pPr>
        <w:spacing w:after="0" w:line="18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Karuna incurred share-based compensation expense of $1.2 million for the period prior to deconsolidation ended March 15, 2019 and $1.9 million and $0.4 million for the years ended December 31, 2018 and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Plans</w:t>
      </w:r>
    </w:p>
    <w:p>
      <w:pPr>
        <w:spacing w:after="0" w:line="117"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stock compensation expense under plans at other subsidiaries of the Group not including Gelesis, Vedanta and Karuna was $0.01 million, $0.8 million and $1.0 million for the years ended December 31, 2019, 2018 and 2017, respectively. The negative expense incurred during the year ended December 31, 2019 was largely attributable to Commense forfeitures.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Finance Cost,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finance income and costs: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Arial" w:cs="Arial" w:eastAsia="Arial" w:hAnsi="Arial"/>
                <w:sz w:val="14"/>
                <w:szCs w:val="14"/>
                <w:color w:val="auto"/>
                <w:w w:val="90"/>
              </w:rPr>
              <w:t>For the year ended December 31,</w:t>
            </w:r>
          </w:p>
        </w:tc>
        <w:tc>
          <w:tcPr>
            <w:tcW w:w="6660" w:type="dxa"/>
            <w:vAlign w:val="bottom"/>
            <w:vMerge w:val="restart"/>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860" w:type="dxa"/>
            <w:vAlign w:val="bottom"/>
            <w:gridSpan w:val="2"/>
          </w:tcPr>
          <w:p>
            <w:pPr>
              <w:jc w:val="center"/>
              <w:ind w:right="141"/>
              <w:spacing w:after="0" w:line="158" w:lineRule="exact"/>
              <w:rPr>
                <w:sz w:val="20"/>
                <w:szCs w:val="20"/>
                <w:color w:val="auto"/>
              </w:rPr>
            </w:pPr>
            <w:r>
              <w:rPr>
                <w:rFonts w:ascii="Arial" w:cs="Arial" w:eastAsia="Arial" w:hAnsi="Arial"/>
                <w:sz w:val="14"/>
                <w:szCs w:val="14"/>
                <w:b w:val="1"/>
                <w:bCs w:val="1"/>
                <w:color w:val="auto"/>
                <w:w w:val="92"/>
              </w:rPr>
              <w:t>$000s</w:t>
            </w:r>
          </w:p>
        </w:tc>
        <w:tc>
          <w:tcPr>
            <w:tcW w:w="78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w w:val="89"/>
              </w:rPr>
              <w:t>$000s</w:t>
            </w:r>
          </w:p>
        </w:tc>
        <w:tc>
          <w:tcPr>
            <w:tcW w:w="8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Finance income</w:t>
            </w: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Interest from financial assets not at fair value through profit or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4,362</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4,362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Finance costs</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interest expense on convertible notes</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(149)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 on other borrowings</w:t>
            </w: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cash interest expense on convertible notes</w:t>
            </w: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(2,495)</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forgiveness of debt</w:t>
            </w: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Loss on extinguishment of derivatives</w:t>
            </w: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foreign currency exchange</w:t>
            </w: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Total finance income/(costs)—contractual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from change in fair value of warrant liability</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(11,890)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Gain/(loss) from change in fair value of preferred shares and convertible debt</w:t>
            </w:r>
          </w:p>
        </w:tc>
        <w:tc>
          <w:tcPr>
            <w:tcW w:w="8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(34,585)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22,549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(73,582)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finance income/(costs)—fair value accounting</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(46,475)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(71,735)</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Total finance income/(costs)—subsidiary preferred shares</w:t>
            </w:r>
          </w:p>
        </w:tc>
        <w:tc>
          <w:tcPr>
            <w:tcW w:w="8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(1,458)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finance income/(costs)</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(47,933)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(81,797)</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Finance income/(costs), net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(46,147</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920" w:type="dxa"/>
            <w:vAlign w:val="bottom"/>
          </w:tcPr>
          <w:p>
            <w:pPr>
              <w:spacing w:after="0"/>
              <w:rPr>
                <w:sz w:val="24"/>
                <w:szCs w:val="24"/>
                <w:color w:val="auto"/>
              </w:rPr>
            </w:pPr>
          </w:p>
        </w:tc>
        <w:tc>
          <w:tcPr>
            <w:tcW w:w="6660" w:type="dxa"/>
            <w:vAlign w:val="bottom"/>
          </w:tcPr>
          <w:p>
            <w:pPr>
              <w:ind w:left="3420"/>
              <w:spacing w:after="0"/>
              <w:rPr>
                <w:sz w:val="20"/>
                <w:szCs w:val="20"/>
                <w:color w:val="auto"/>
              </w:rPr>
            </w:pPr>
            <w:r>
              <w:rPr>
                <w:rFonts w:ascii="Arial" w:cs="Arial" w:eastAsia="Arial" w:hAnsi="Arial"/>
                <w:sz w:val="18"/>
                <w:szCs w:val="18"/>
                <w:color w:val="auto"/>
              </w:rPr>
              <w:t>F-46</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Earnings/(Loss) per Share</w:t>
      </w:r>
    </w:p>
    <w:p>
      <w:pPr>
        <w:spacing w:after="0" w:line="121"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The basic and diluted loss per share has been calculated by dividing the income/(loss) for the period attributable to ordinary shareholders by the weighted average number of ordinary shares outstanding during the years ended December 31, 2019, 2018 and 2017, respectively.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Earnings/(Loss) Attributable to Owners of the Company: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w w:val="89"/>
              </w:rPr>
              <w:t>2017</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040" w:type="dxa"/>
            <w:vAlign w:val="bottom"/>
          </w:tcPr>
          <w:p>
            <w:pPr>
              <w:spacing w:after="0"/>
              <w:rPr>
                <w:sz w:val="10"/>
                <w:szCs w:val="10"/>
                <w:color w:val="auto"/>
              </w:rPr>
            </w:pPr>
          </w:p>
        </w:tc>
        <w:tc>
          <w:tcPr>
            <w:tcW w:w="94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Basic</w:t>
            </w: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Diluted</w:t>
            </w:r>
          </w:p>
        </w:tc>
        <w:tc>
          <w:tcPr>
            <w:tcW w:w="140" w:type="dxa"/>
            <w:vAlign w:val="bottom"/>
          </w:tcPr>
          <w:p>
            <w:pPr>
              <w:spacing w:after="0"/>
              <w:rPr>
                <w:sz w:val="10"/>
                <w:szCs w:val="10"/>
                <w:color w:val="auto"/>
              </w:rPr>
            </w:pPr>
          </w:p>
        </w:tc>
        <w:tc>
          <w:tcPr>
            <w:tcW w:w="980" w:type="dxa"/>
            <w:vAlign w:val="bottom"/>
            <w:gridSpan w:val="3"/>
          </w:tcPr>
          <w:p>
            <w:pPr>
              <w:ind w:left="180"/>
              <w:spacing w:after="0" w:line="119" w:lineRule="exact"/>
              <w:rPr>
                <w:sz w:val="20"/>
                <w:szCs w:val="20"/>
                <w:color w:val="auto"/>
              </w:rPr>
            </w:pPr>
            <w:r>
              <w:rPr>
                <w:rFonts w:ascii="Arial" w:cs="Arial" w:eastAsia="Arial" w:hAnsi="Arial"/>
                <w:sz w:val="13"/>
                <w:szCs w:val="13"/>
                <w:color w:val="auto"/>
              </w:rPr>
              <w:t>Basic</w:t>
            </w:r>
          </w:p>
        </w:tc>
        <w:tc>
          <w:tcPr>
            <w:tcW w:w="600" w:type="dxa"/>
            <w:vAlign w:val="bottom"/>
          </w:tcPr>
          <w:p>
            <w:pPr>
              <w:ind w:left="40"/>
              <w:spacing w:after="0" w:line="119" w:lineRule="exact"/>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0"/>
                <w:szCs w:val="10"/>
                <w:color w:val="auto"/>
              </w:rPr>
            </w:pPr>
          </w:p>
        </w:tc>
        <w:tc>
          <w:tcPr>
            <w:tcW w:w="860" w:type="dxa"/>
            <w:vAlign w:val="bottom"/>
            <w:gridSpan w:val="3"/>
          </w:tcPr>
          <w:p>
            <w:pPr>
              <w:ind w:left="140"/>
              <w:spacing w:after="0" w:line="119" w:lineRule="exact"/>
              <w:rPr>
                <w:sz w:val="20"/>
                <w:szCs w:val="20"/>
                <w:color w:val="auto"/>
              </w:rPr>
            </w:pPr>
            <w:r>
              <w:rPr>
                <w:rFonts w:ascii="Arial" w:cs="Arial" w:eastAsia="Arial" w:hAnsi="Arial"/>
                <w:sz w:val="13"/>
                <w:szCs w:val="13"/>
                <w:color w:val="auto"/>
              </w:rPr>
              <w:t>Basic</w:t>
            </w:r>
          </w:p>
        </w:tc>
        <w:tc>
          <w:tcPr>
            <w:tcW w:w="540" w:type="dxa"/>
            <w:vAlign w:val="bottom"/>
          </w:tcPr>
          <w:p>
            <w:pPr>
              <w:spacing w:after="0" w:line="119" w:lineRule="exact"/>
              <w:rPr>
                <w:sz w:val="20"/>
                <w:szCs w:val="20"/>
                <w:color w:val="auto"/>
              </w:rPr>
            </w:pPr>
            <w:r>
              <w:rPr>
                <w:rFonts w:ascii="Arial" w:cs="Arial" w:eastAsia="Arial" w:hAnsi="Arial"/>
                <w:sz w:val="13"/>
                <w:szCs w:val="13"/>
                <w:color w:val="auto"/>
              </w:rPr>
              <w:t>Diluted</w:t>
            </w:r>
          </w:p>
        </w:tc>
        <w:tc>
          <w:tcPr>
            <w:tcW w:w="60" w:type="dxa"/>
            <w:vAlign w:val="bottom"/>
          </w:tcPr>
          <w:p>
            <w:pPr>
              <w:spacing w:after="0"/>
              <w:rPr>
                <w:sz w:val="10"/>
                <w:szCs w:val="10"/>
                <w:color w:val="auto"/>
              </w:rPr>
            </w:pPr>
          </w:p>
        </w:tc>
      </w:tr>
      <w:tr>
        <w:trPr>
          <w:trHeight w:val="171"/>
        </w:trPr>
        <w:tc>
          <w:tcPr>
            <w:tcW w:w="6040" w:type="dxa"/>
            <w:vAlign w:val="bottom"/>
          </w:tcPr>
          <w:p>
            <w:pPr>
              <w:spacing w:after="0"/>
              <w:rPr>
                <w:sz w:val="14"/>
                <w:szCs w:val="14"/>
                <w:color w:val="auto"/>
              </w:rPr>
            </w:pPr>
          </w:p>
        </w:tc>
        <w:tc>
          <w:tcPr>
            <w:tcW w:w="940" w:type="dxa"/>
            <w:vAlign w:val="bottom"/>
            <w:gridSpan w:val="4"/>
          </w:tcPr>
          <w:p>
            <w:pPr>
              <w:ind w:left="180"/>
              <w:spacing w:after="0"/>
              <w:rPr>
                <w:sz w:val="20"/>
                <w:szCs w:val="20"/>
                <w:color w:val="auto"/>
              </w:rPr>
            </w:pPr>
            <w:r>
              <w:rPr>
                <w:rFonts w:ascii="Arial" w:cs="Arial" w:eastAsia="Arial" w:hAnsi="Arial"/>
                <w:sz w:val="14"/>
                <w:szCs w:val="14"/>
                <w:b w:val="1"/>
                <w:bCs w:val="1"/>
                <w:color w:val="auto"/>
              </w:rPr>
              <w:t>$000s</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$000s</w:t>
            </w:r>
          </w:p>
        </w:tc>
        <w:tc>
          <w:tcPr>
            <w:tcW w:w="980" w:type="dxa"/>
            <w:vAlign w:val="bottom"/>
            <w:gridSpan w:val="3"/>
          </w:tcPr>
          <w:p>
            <w:pPr>
              <w:ind w:left="180"/>
              <w:spacing w:after="0"/>
              <w:rPr>
                <w:sz w:val="20"/>
                <w:szCs w:val="20"/>
                <w:color w:val="auto"/>
              </w:rPr>
            </w:pPr>
            <w:r>
              <w:rPr>
                <w:rFonts w:ascii="Arial" w:cs="Arial" w:eastAsia="Arial" w:hAnsi="Arial"/>
                <w:sz w:val="14"/>
                <w:szCs w:val="14"/>
                <w:color w:val="auto"/>
              </w:rPr>
              <w:t>$000s</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$000s</w:t>
            </w:r>
          </w:p>
        </w:tc>
        <w:tc>
          <w:tcPr>
            <w:tcW w:w="860" w:type="dxa"/>
            <w:vAlign w:val="bottom"/>
            <w:gridSpan w:val="3"/>
          </w:tcPr>
          <w:p>
            <w:pPr>
              <w:ind w:left="140"/>
              <w:spacing w:after="0"/>
              <w:rPr>
                <w:sz w:val="20"/>
                <w:szCs w:val="20"/>
                <w:color w:val="auto"/>
              </w:rPr>
            </w:pPr>
            <w:r>
              <w:rPr>
                <w:rFonts w:ascii="Arial" w:cs="Arial" w:eastAsia="Arial" w:hAnsi="Arial"/>
                <w:sz w:val="14"/>
                <w:szCs w:val="14"/>
                <w:color w:val="auto"/>
              </w:rPr>
              <w:t>$000s</w:t>
            </w: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$000s</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Income/(loss) for the year, attributable to the owners of the Company</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421,144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6"/>
              </w:rPr>
              <w:t>421,144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7"/>
              </w:rPr>
              <w:t>(43,654)</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26,472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26,472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Income/(loss) attributable to ordinary shareholders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421,144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6"/>
              </w:rPr>
              <w:t>421,144</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(43,654)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7"/>
              </w:rPr>
              <w:t>(43,654)</w:t>
            </w:r>
          </w:p>
        </w:tc>
        <w:tc>
          <w:tcPr>
            <w:tcW w:w="240" w:type="dxa"/>
            <w:vAlign w:val="bottom"/>
          </w:tcPr>
          <w:p>
            <w:pPr>
              <w:spacing w:after="0"/>
              <w:rPr>
                <w:sz w:val="19"/>
                <w:szCs w:val="19"/>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7"/>
              </w:rPr>
              <w:t>26,472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7"/>
              </w:rPr>
              <w:t>26,472</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Number of Ordinary Shares: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85"/>
              </w:rPr>
              <w:t>Basic</w:t>
            </w: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Diluted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right"/>
              <w:ind w:right="740"/>
              <w:spacing w:after="0" w:line="142" w:lineRule="exact"/>
              <w:rPr>
                <w:sz w:val="20"/>
                <w:szCs w:val="20"/>
                <w:color w:val="auto"/>
              </w:rPr>
            </w:pPr>
            <w:r>
              <w:rPr>
                <w:rFonts w:ascii="Arial" w:cs="Arial" w:eastAsia="Arial" w:hAnsi="Arial"/>
                <w:sz w:val="14"/>
                <w:szCs w:val="14"/>
                <w:color w:val="auto"/>
              </w:rPr>
              <w:t>Basic</w:t>
            </w:r>
          </w:p>
        </w:tc>
        <w:tc>
          <w:tcPr>
            <w:tcW w:w="720" w:type="dxa"/>
            <w:vAlign w:val="bottom"/>
            <w:gridSpan w:val="4"/>
          </w:tcPr>
          <w:p>
            <w:pPr>
              <w:ind w:left="200"/>
              <w:spacing w:after="0" w:line="142"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400"/>
              <w:spacing w:after="0" w:line="142"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Issued ordinary shares at January 1,</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282,493,867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282,493,867</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236,897,579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236,897,579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232,712,542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232,712,542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Effect of shares issued</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932,600</w:t>
            </w:r>
          </w:p>
        </w:tc>
        <w:tc>
          <w:tcPr>
            <w:tcW w:w="2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932,600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36,950,688</w:t>
            </w:r>
          </w:p>
        </w:tc>
        <w:tc>
          <w:tcPr>
            <w:tcW w:w="160" w:type="dxa"/>
            <w:vAlign w:val="bottom"/>
          </w:tcPr>
          <w:p>
            <w:pPr>
              <w:spacing w:after="0"/>
              <w:rPr>
                <w:sz w:val="18"/>
                <w:szCs w:val="18"/>
                <w:color w:val="auto"/>
              </w:rPr>
            </w:pPr>
          </w:p>
        </w:tc>
        <w:tc>
          <w:tcPr>
            <w:tcW w:w="1140" w:type="dxa"/>
            <w:vAlign w:val="bottom"/>
            <w:gridSpan w:val="7"/>
          </w:tcPr>
          <w:p>
            <w:pPr>
              <w:jc w:val="right"/>
              <w:ind w:right="140"/>
              <w:spacing w:after="0"/>
              <w:rPr>
                <w:sz w:val="20"/>
                <w:szCs w:val="20"/>
                <w:color w:val="auto"/>
              </w:rPr>
            </w:pPr>
            <w:r>
              <w:rPr>
                <w:rFonts w:ascii="Arial" w:cs="Arial" w:eastAsia="Arial" w:hAnsi="Arial"/>
                <w:sz w:val="18"/>
                <w:szCs w:val="18"/>
                <w:color w:val="auto"/>
              </w:rPr>
              <w:t>36,950,688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5"/>
          </w:tcPr>
          <w:p>
            <w:pPr>
              <w:jc w:val="right"/>
              <w:ind w:right="50"/>
              <w:spacing w:after="0"/>
              <w:rPr>
                <w:sz w:val="20"/>
                <w:szCs w:val="20"/>
                <w:color w:val="auto"/>
              </w:rPr>
            </w:pPr>
            <w:r>
              <w:rPr>
                <w:rFonts w:ascii="Arial" w:cs="Arial" w:eastAsia="Arial" w:hAnsi="Arial"/>
                <w:sz w:val="18"/>
                <w:szCs w:val="18"/>
                <w:color w:val="auto"/>
                <w:w w:val="97"/>
              </w:rPr>
              <w:t>2,819,846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2,819,846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8,355,866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center"/>
              <w:ind w:right="2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3,388,920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gridSpan w:val="2"/>
          </w:tcPr>
          <w:p>
            <w:pPr>
              <w:spacing w:after="0"/>
              <w:rPr>
                <w:sz w:val="20"/>
                <w:szCs w:val="20"/>
                <w:color w:val="auto"/>
              </w:rPr>
            </w:pPr>
            <w:r>
              <w:rPr>
                <w:rFonts w:ascii="Arial" w:cs="Arial" w:eastAsia="Arial" w:hAnsi="Arial"/>
                <w:sz w:val="18"/>
                <w:szCs w:val="18"/>
                <w:color w:val="auto"/>
              </w:rPr>
              <w:t>Weighted average number of ordinary</w:t>
            </w:r>
          </w:p>
        </w:tc>
        <w:tc>
          <w:tcPr>
            <w:tcW w:w="1300" w:type="dxa"/>
            <w:vAlign w:val="bottom"/>
            <w:gridSpan w:val="4"/>
            <w:vMerge w:val="restart"/>
          </w:tcPr>
          <w:p>
            <w:pPr>
              <w:jc w:val="right"/>
              <w:ind w:right="160"/>
              <w:spacing w:after="0"/>
              <w:rPr>
                <w:sz w:val="20"/>
                <w:szCs w:val="20"/>
                <w:color w:val="auto"/>
              </w:rPr>
            </w:pPr>
            <w:r>
              <w:rPr>
                <w:rFonts w:ascii="Arial" w:cs="Arial" w:eastAsia="Arial" w:hAnsi="Arial"/>
                <w:sz w:val="18"/>
                <w:szCs w:val="18"/>
                <w:b w:val="1"/>
                <w:bCs w:val="1"/>
                <w:color w:val="auto"/>
              </w:rPr>
              <w:t>283,426,467</w:t>
            </w:r>
          </w:p>
        </w:tc>
        <w:tc>
          <w:tcPr>
            <w:tcW w:w="200" w:type="dxa"/>
            <w:vAlign w:val="bottom"/>
          </w:tcPr>
          <w:p>
            <w:pPr>
              <w:spacing w:after="0"/>
              <w:rPr>
                <w:sz w:val="18"/>
                <w:szCs w:val="18"/>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3"/>
              </w:rPr>
              <w:t>291,782,333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shareholders at December 31,</w:t>
            </w:r>
          </w:p>
        </w:tc>
        <w:tc>
          <w:tcPr>
            <w:tcW w:w="1300" w:type="dxa"/>
            <w:vAlign w:val="bottom"/>
            <w:gridSpan w:val="4"/>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273,848,267</w:t>
            </w:r>
          </w:p>
        </w:tc>
        <w:tc>
          <w:tcPr>
            <w:tcW w:w="160" w:type="dxa"/>
            <w:vAlign w:val="bottom"/>
          </w:tcPr>
          <w:p>
            <w:pPr>
              <w:spacing w:after="0"/>
              <w:rPr>
                <w:sz w:val="20"/>
                <w:szCs w:val="20"/>
                <w:color w:val="auto"/>
              </w:rPr>
            </w:pPr>
          </w:p>
        </w:tc>
        <w:tc>
          <w:tcPr>
            <w:tcW w:w="1140" w:type="dxa"/>
            <w:vAlign w:val="bottom"/>
            <w:gridSpan w:val="7"/>
          </w:tcPr>
          <w:p>
            <w:pPr>
              <w:jc w:val="right"/>
              <w:ind w:right="140"/>
              <w:spacing w:after="0"/>
              <w:rPr>
                <w:sz w:val="20"/>
                <w:szCs w:val="20"/>
                <w:color w:val="auto"/>
              </w:rPr>
            </w:pPr>
            <w:r>
              <w:rPr>
                <w:rFonts w:ascii="Arial" w:cs="Arial" w:eastAsia="Arial" w:hAnsi="Arial"/>
                <w:sz w:val="18"/>
                <w:szCs w:val="18"/>
                <w:color w:val="auto"/>
                <w:w w:val="97"/>
              </w:rPr>
              <w:t>273,848,267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7"/>
          </w:tcPr>
          <w:p>
            <w:pPr>
              <w:jc w:val="right"/>
              <w:ind w:right="50"/>
              <w:spacing w:after="0"/>
              <w:rPr>
                <w:sz w:val="20"/>
                <w:szCs w:val="20"/>
                <w:color w:val="auto"/>
              </w:rPr>
            </w:pPr>
            <w:r>
              <w:rPr>
                <w:rFonts w:ascii="Arial" w:cs="Arial" w:eastAsia="Arial" w:hAnsi="Arial"/>
                <w:sz w:val="18"/>
                <w:szCs w:val="18"/>
                <w:color w:val="auto"/>
                <w:w w:val="97"/>
              </w:rPr>
              <w:t>235,532,388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w w:val="91"/>
              </w:rPr>
              <w:t>238,921,308</w:t>
            </w:r>
          </w:p>
        </w:tc>
        <w:tc>
          <w:tcPr>
            <w:tcW w:w="0" w:type="dxa"/>
            <w:vAlign w:val="bottom"/>
          </w:tcPr>
          <w:p>
            <w:pPr>
              <w:spacing w:after="0"/>
              <w:rPr>
                <w:sz w:val="1"/>
                <w:szCs w:val="1"/>
                <w:color w:val="auto"/>
              </w:rPr>
            </w:pPr>
          </w:p>
        </w:tc>
      </w:tr>
      <w:tr>
        <w:trPr>
          <w:trHeight w:val="439"/>
        </w:trPr>
        <w:tc>
          <w:tcPr>
            <w:tcW w:w="3180" w:type="dxa"/>
            <w:vAlign w:val="bottom"/>
            <w:gridSpan w:val="2"/>
          </w:tcPr>
          <w:p>
            <w:pPr>
              <w:spacing w:after="0"/>
              <w:rPr>
                <w:sz w:val="20"/>
                <w:szCs w:val="20"/>
                <w:color w:val="auto"/>
              </w:rPr>
            </w:pPr>
            <w:r>
              <w:rPr>
                <w:rFonts w:ascii="Arial" w:cs="Arial" w:eastAsia="Arial" w:hAnsi="Arial"/>
                <w:sz w:val="18"/>
                <w:szCs w:val="18"/>
                <w:color w:val="auto"/>
              </w:rPr>
              <w:t>Earnings/(Loss) per Share:</w:t>
            </w: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right"/>
              <w:ind w:right="125"/>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0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Basic</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Diluted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color w:val="auto"/>
              </w:rPr>
              <w:t>Basic</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Basic</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Diluted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gridSpan w:val="2"/>
          </w:tcPr>
          <w:p>
            <w:pPr>
              <w:spacing w:after="0"/>
              <w:rPr>
                <w:sz w:val="14"/>
                <w:szCs w:val="14"/>
                <w:color w:val="auto"/>
              </w:rPr>
            </w:pPr>
          </w:p>
        </w:tc>
        <w:tc>
          <w:tcPr>
            <w:tcW w:w="3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Basic and diluted earnings/(loss) per share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7"/>
              </w:rPr>
              <w:t>(0.16)</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0.11</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11. Property and Equipment</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4"/>
                <w:szCs w:val="14"/>
                <w:color w:val="auto"/>
                <w:w w:val="95"/>
              </w:rPr>
              <w:t>Laboratory and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Computer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7"/>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9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400"/>
              <w:spacing w:after="0" w:line="149" w:lineRule="exact"/>
              <w:rPr>
                <w:sz w:val="20"/>
                <w:szCs w:val="20"/>
                <w:color w:val="auto"/>
              </w:rPr>
            </w:pPr>
            <w:r>
              <w:rPr>
                <w:rFonts w:ascii="Arial" w:cs="Arial" w:eastAsia="Arial" w:hAnsi="Arial"/>
                <w:sz w:val="14"/>
                <w:szCs w:val="14"/>
                <w:color w:val="auto"/>
                <w:w w:val="96"/>
              </w:rPr>
              <w:t>Manufacturing</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Furniture and</w:t>
            </w:r>
          </w:p>
        </w:tc>
        <w:tc>
          <w:tcPr>
            <w:tcW w:w="16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Equipment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7"/>
          </w:tcPr>
          <w:p>
            <w:pPr>
              <w:jc w:val="center"/>
              <w:spacing w:after="0" w:line="149" w:lineRule="exact"/>
              <w:rPr>
                <w:sz w:val="20"/>
                <w:szCs w:val="20"/>
                <w:color w:val="auto"/>
              </w:rPr>
            </w:pPr>
            <w:r>
              <w:rPr>
                <w:rFonts w:ascii="Arial" w:cs="Arial" w:eastAsia="Arial" w:hAnsi="Arial"/>
                <w:sz w:val="14"/>
                <w:szCs w:val="14"/>
                <w:color w:val="auto"/>
                <w:w w:val="89"/>
              </w:rPr>
              <w:t>Leasehold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tcPr>
          <w:p>
            <w:pPr>
              <w:jc w:val="center"/>
              <w:ind w:right="320"/>
              <w:spacing w:after="0" w:line="149" w:lineRule="exact"/>
              <w:rPr>
                <w:sz w:val="20"/>
                <w:szCs w:val="20"/>
                <w:color w:val="auto"/>
              </w:rPr>
            </w:pPr>
            <w:r>
              <w:rPr>
                <w:rFonts w:ascii="Arial" w:cs="Arial" w:eastAsia="Arial" w:hAnsi="Arial"/>
                <w:sz w:val="14"/>
                <w:szCs w:val="14"/>
                <w:color w:val="auto"/>
                <w:w w:val="91"/>
              </w:rPr>
              <w:t>in</w:t>
            </w:r>
          </w:p>
        </w:tc>
        <w:tc>
          <w:tcPr>
            <w:tcW w:w="380" w:type="dxa"/>
            <w:vAlign w:val="bottom"/>
          </w:tcPr>
          <w:p>
            <w:pPr>
              <w:spacing w:after="0"/>
              <w:rPr>
                <w:sz w:val="12"/>
                <w:szCs w:val="12"/>
                <w:color w:val="auto"/>
              </w:rPr>
            </w:pPr>
          </w:p>
        </w:tc>
        <w:tc>
          <w:tcPr>
            <w:tcW w:w="62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center"/>
              <w:ind w:right="400"/>
              <w:spacing w:after="0" w:line="154" w:lineRule="exact"/>
              <w:rPr>
                <w:sz w:val="20"/>
                <w:szCs w:val="20"/>
                <w:color w:val="auto"/>
              </w:rPr>
            </w:pPr>
            <w:r>
              <w:rPr>
                <w:rFonts w:ascii="Arial" w:cs="Arial" w:eastAsia="Arial" w:hAnsi="Arial"/>
                <w:sz w:val="14"/>
                <w:szCs w:val="14"/>
                <w:color w:val="auto"/>
                <w:w w:val="93"/>
              </w:rPr>
              <w:t xml:space="preserve">Equipment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000s</w:t>
            </w:r>
          </w:p>
        </w:tc>
        <w:tc>
          <w:tcPr>
            <w:tcW w:w="1100" w:type="dxa"/>
            <w:vAlign w:val="bottom"/>
            <w:gridSpan w:val="3"/>
          </w:tcPr>
          <w:p>
            <w:pPr>
              <w:jc w:val="center"/>
              <w:ind w:right="240"/>
              <w:spacing w:after="0" w:line="154" w:lineRule="exact"/>
              <w:rPr>
                <w:sz w:val="20"/>
                <w:szCs w:val="20"/>
                <w:color w:val="auto"/>
              </w:rPr>
            </w:pPr>
            <w:r>
              <w:rPr>
                <w:rFonts w:ascii="Arial" w:cs="Arial" w:eastAsia="Arial" w:hAnsi="Arial"/>
                <w:sz w:val="14"/>
                <w:szCs w:val="14"/>
                <w:color w:val="auto"/>
                <w:w w:val="93"/>
              </w:rPr>
              <w:t xml:space="preserve">Fixtures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000s</w:t>
            </w:r>
          </w:p>
        </w:tc>
        <w:tc>
          <w:tcPr>
            <w:tcW w:w="160" w:type="dxa"/>
            <w:vAlign w:val="bottom"/>
          </w:tcPr>
          <w:p>
            <w:pPr>
              <w:spacing w:after="0"/>
              <w:rPr>
                <w:sz w:val="15"/>
                <w:szCs w:val="15"/>
                <w:color w:val="auto"/>
              </w:rPr>
            </w:pPr>
          </w:p>
        </w:tc>
        <w:tc>
          <w:tcPr>
            <w:tcW w:w="1320" w:type="dxa"/>
            <w:vAlign w:val="bottom"/>
            <w:gridSpan w:val="3"/>
          </w:tcPr>
          <w:p>
            <w:pPr>
              <w:jc w:val="center"/>
              <w:ind w:right="140"/>
              <w:spacing w:after="0" w:line="154" w:lineRule="exact"/>
              <w:rPr>
                <w:sz w:val="20"/>
                <w:szCs w:val="20"/>
                <w:color w:val="auto"/>
              </w:rPr>
            </w:pPr>
            <w:r>
              <w:rPr>
                <w:rFonts w:ascii="Arial" w:cs="Arial" w:eastAsia="Arial" w:hAnsi="Arial"/>
                <w:sz w:val="14"/>
                <w:szCs w:val="14"/>
                <w:color w:val="auto"/>
                <w:w w:val="91"/>
              </w:rPr>
              <w:t xml:space="preserve">and Software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240" w:type="dxa"/>
            <w:vAlign w:val="bottom"/>
          </w:tcPr>
          <w:p>
            <w:pPr>
              <w:spacing w:after="0"/>
              <w:rPr>
                <w:sz w:val="15"/>
                <w:szCs w:val="15"/>
                <w:color w:val="auto"/>
              </w:rPr>
            </w:pPr>
          </w:p>
        </w:tc>
        <w:tc>
          <w:tcPr>
            <w:tcW w:w="1300" w:type="dxa"/>
            <w:vAlign w:val="bottom"/>
            <w:gridSpan w:val="10"/>
          </w:tcPr>
          <w:p>
            <w:pPr>
              <w:jc w:val="center"/>
              <w:ind w:right="2"/>
              <w:spacing w:after="0" w:line="154" w:lineRule="exact"/>
              <w:rPr>
                <w:sz w:val="20"/>
                <w:szCs w:val="20"/>
                <w:color w:val="auto"/>
              </w:rPr>
            </w:pPr>
            <w:r>
              <w:rPr>
                <w:rFonts w:ascii="Arial" w:cs="Arial" w:eastAsia="Arial" w:hAnsi="Arial"/>
                <w:sz w:val="14"/>
                <w:szCs w:val="14"/>
                <w:color w:val="auto"/>
                <w:w w:val="93"/>
              </w:rPr>
              <w:t xml:space="preserve">Improvements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000s</w:t>
            </w:r>
          </w:p>
        </w:tc>
        <w:tc>
          <w:tcPr>
            <w:tcW w:w="340" w:type="dxa"/>
            <w:vAlign w:val="bottom"/>
          </w:tcPr>
          <w:p>
            <w:pPr>
              <w:spacing w:after="0"/>
              <w:rPr>
                <w:sz w:val="15"/>
                <w:szCs w:val="15"/>
                <w:color w:val="auto"/>
              </w:rPr>
            </w:pPr>
          </w:p>
        </w:tc>
        <w:tc>
          <w:tcPr>
            <w:tcW w:w="880" w:type="dxa"/>
            <w:vAlign w:val="bottom"/>
            <w:gridSpan w:val="7"/>
          </w:tcPr>
          <w:p>
            <w:pPr>
              <w:jc w:val="center"/>
              <w:ind w:right="80"/>
              <w:spacing w:after="0" w:line="154" w:lineRule="exact"/>
              <w:rPr>
                <w:sz w:val="20"/>
                <w:szCs w:val="20"/>
                <w:color w:val="auto"/>
              </w:rPr>
            </w:pPr>
            <w:r>
              <w:rPr>
                <w:rFonts w:ascii="Arial" w:cs="Arial" w:eastAsia="Arial" w:hAnsi="Arial"/>
                <w:sz w:val="14"/>
                <w:szCs w:val="14"/>
                <w:color w:val="auto"/>
                <w:w w:val="87"/>
              </w:rPr>
              <w:t xml:space="preserve">process </w:t>
            </w:r>
            <w:r>
              <w:rPr>
                <w:rFonts w:ascii="Arial" w:cs="Arial" w:eastAsia="Arial" w:hAnsi="Arial"/>
                <w:sz w:val="14"/>
                <w:szCs w:val="14"/>
                <w:u w:val="single" w:color="auto"/>
                <w:color w:val="auto"/>
                <w:w w:val="87"/>
              </w:rPr>
              <w:t>$</w:t>
            </w:r>
            <w:r>
              <w:rPr>
                <w:rFonts w:ascii="Arial" w:cs="Arial" w:eastAsia="Arial" w:hAnsi="Arial"/>
                <w:sz w:val="14"/>
                <w:szCs w:val="14"/>
                <w:color w:val="auto"/>
                <w:w w:val="87"/>
              </w:rPr>
              <w:t>000s</w:t>
            </w:r>
          </w:p>
        </w:tc>
        <w:tc>
          <w:tcPr>
            <w:tcW w:w="380" w:type="dxa"/>
            <w:vAlign w:val="bottom"/>
          </w:tcPr>
          <w:p>
            <w:pPr>
              <w:spacing w:after="0"/>
              <w:rPr>
                <w:sz w:val="15"/>
                <w:szCs w:val="15"/>
                <w:color w:val="auto"/>
              </w:rPr>
            </w:pPr>
          </w:p>
        </w:tc>
        <w:tc>
          <w:tcPr>
            <w:tcW w:w="620" w:type="dxa"/>
            <w:vAlign w:val="bottom"/>
            <w:gridSpan w:val="4"/>
          </w:tcPr>
          <w:p>
            <w:pPr>
              <w:jc w:val="right"/>
              <w:ind w:right="220"/>
              <w:spacing w:after="0" w:line="154" w:lineRule="exact"/>
              <w:rPr>
                <w:sz w:val="20"/>
                <w:szCs w:val="20"/>
                <w:color w:val="auto"/>
              </w:rPr>
            </w:pPr>
            <w:r>
              <w:rPr>
                <w:rFonts w:ascii="Arial" w:cs="Arial" w:eastAsia="Arial" w:hAnsi="Arial"/>
                <w:sz w:val="14"/>
                <w:szCs w:val="14"/>
                <w:color w:val="auto"/>
                <w:w w:val="99"/>
              </w:rPr>
              <w:t>$000s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2018</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6,082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1,214</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Arial" w:cs="Arial" w:eastAsia="Arial" w:hAnsi="Arial"/>
                <w:sz w:val="18"/>
                <w:szCs w:val="18"/>
                <w:color w:val="auto"/>
              </w:rPr>
              <w:t>2,899</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10,738</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Additions, net of transfers</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7"/>
          </w:tcPr>
          <w:p>
            <w:pPr>
              <w:jc w:val="right"/>
              <w:ind w:right="2"/>
              <w:spacing w:after="0"/>
              <w:rPr>
                <w:sz w:val="20"/>
                <w:szCs w:val="20"/>
                <w:color w:val="auto"/>
              </w:rPr>
            </w:pPr>
            <w:r>
              <w:rPr>
                <w:rFonts w:ascii="Arial" w:cs="Arial" w:eastAsia="Arial" w:hAnsi="Arial"/>
                <w:sz w:val="18"/>
                <w:szCs w:val="18"/>
                <w:color w:val="auto"/>
              </w:rPr>
              <w:t>2,070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6"/>
          </w:tcPr>
          <w:p>
            <w:pPr>
              <w:jc w:val="right"/>
              <w:ind w:right="80"/>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
              <w:spacing w:after="0"/>
              <w:rPr>
                <w:sz w:val="20"/>
                <w:szCs w:val="20"/>
                <w:color w:val="auto"/>
              </w:rPr>
            </w:pPr>
            <w:r>
              <w:rPr>
                <w:rFonts w:ascii="Arial" w:cs="Arial" w:eastAsia="Arial" w:hAnsi="Arial"/>
                <w:sz w:val="18"/>
                <w:szCs w:val="18"/>
                <w:color w:val="auto"/>
              </w:rPr>
              <w:t>4,924</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Additions, net of transfers</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13,494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4,649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22,818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Deconsolidation of subsidiaries</w:t>
            </w:r>
          </w:p>
        </w:tc>
        <w:tc>
          <w:tcPr>
            <w:tcW w:w="1300" w:type="dxa"/>
            <w:vAlign w:val="bottom"/>
            <w:gridSpan w:val="4"/>
          </w:tcPr>
          <w:p>
            <w:pPr>
              <w:jc w:val="right"/>
              <w:ind w:right="140"/>
              <w:spacing w:after="0"/>
              <w:rPr>
                <w:sz w:val="20"/>
                <w:szCs w:val="20"/>
                <w:color w:val="auto"/>
              </w:rPr>
            </w:pPr>
            <w:r>
              <w:rPr>
                <w:rFonts w:ascii="Arial" w:cs="Arial" w:eastAsia="Arial" w:hAnsi="Arial"/>
                <w:sz w:val="18"/>
                <w:szCs w:val="18"/>
                <w:color w:val="auto"/>
              </w:rPr>
              <w:t>(3,076)</w:t>
            </w:r>
          </w:p>
        </w:tc>
        <w:tc>
          <w:tcPr>
            <w:tcW w:w="200" w:type="dxa"/>
            <w:vAlign w:val="bottom"/>
          </w:tcPr>
          <w:p>
            <w:pPr>
              <w:spacing w:after="0"/>
              <w:rPr>
                <w:sz w:val="18"/>
                <w:szCs w:val="18"/>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(754)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(4,190)</w:t>
            </w:r>
          </w:p>
        </w:tc>
        <w:tc>
          <w:tcPr>
            <w:tcW w:w="38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(8,157)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1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
              <w:spacing w:after="0"/>
              <w:rPr>
                <w:sz w:val="20"/>
                <w:szCs w:val="20"/>
                <w:color w:val="auto"/>
              </w:rPr>
            </w:pPr>
            <w:r>
              <w:rPr>
                <w:rFonts w:ascii="Arial" w:cs="Arial" w:eastAsia="Arial" w:hAnsi="Arial"/>
                <w:sz w:val="18"/>
                <w:szCs w:val="18"/>
                <w:color w:val="auto"/>
              </w:rPr>
              <w:t>36</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jc w:val="right"/>
              <w:ind w:right="2"/>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6"/>
          </w:tcPr>
          <w:p>
            <w:pPr>
              <w:jc w:val="right"/>
              <w:ind w:right="8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1,452</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17,656</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646</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28,647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66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gridSpan w:val="3"/>
            <w:vMerge w:val="restart"/>
          </w:tcPr>
          <w:p>
            <w:pPr>
              <w:spacing w:after="0"/>
              <w:rPr>
                <w:sz w:val="20"/>
                <w:szCs w:val="20"/>
                <w:color w:val="auto"/>
              </w:rPr>
            </w:pPr>
            <w:r>
              <w:rPr>
                <w:rFonts w:ascii="Arial" w:cs="Arial" w:eastAsia="Arial" w:hAnsi="Arial"/>
                <w:sz w:val="14"/>
                <w:szCs w:val="14"/>
                <w:color w:val="auto"/>
              </w:rPr>
              <w:t>Accumulated depreciation and</w:t>
            </w:r>
          </w:p>
        </w:tc>
        <w:tc>
          <w:tcPr>
            <w:tcW w:w="1440" w:type="dxa"/>
            <w:vAlign w:val="bottom"/>
            <w:gridSpan w:val="4"/>
          </w:tcPr>
          <w:p>
            <w:pPr>
              <w:jc w:val="center"/>
              <w:ind w:right="440"/>
              <w:spacing w:after="0"/>
              <w:rPr>
                <w:sz w:val="20"/>
                <w:szCs w:val="20"/>
                <w:color w:val="auto"/>
              </w:rPr>
            </w:pPr>
            <w:r>
              <w:rPr>
                <w:rFonts w:ascii="Arial" w:cs="Arial" w:eastAsia="Arial" w:hAnsi="Arial"/>
                <w:sz w:val="14"/>
                <w:szCs w:val="14"/>
                <w:color w:val="auto"/>
                <w:w w:val="93"/>
              </w:rPr>
              <w:t>Laboratory and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4"/>
                <w:szCs w:val="14"/>
                <w:color w:val="auto"/>
                <w:w w:val="94"/>
              </w:rPr>
              <w:t>Computer</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20" w:type="dxa"/>
            <w:vAlign w:val="bottom"/>
            <w:gridSpan w:val="3"/>
            <w:vMerge w:val="continue"/>
          </w:tcPr>
          <w:p>
            <w:pPr>
              <w:spacing w:after="0"/>
              <w:rPr>
                <w:sz w:val="12"/>
                <w:szCs w:val="12"/>
                <w:color w:val="auto"/>
              </w:rPr>
            </w:pPr>
          </w:p>
        </w:tc>
        <w:tc>
          <w:tcPr>
            <w:tcW w:w="1440" w:type="dxa"/>
            <w:vAlign w:val="bottom"/>
            <w:gridSpan w:val="4"/>
          </w:tcPr>
          <w:p>
            <w:pPr>
              <w:jc w:val="center"/>
              <w:ind w:right="440"/>
              <w:spacing w:after="0" w:line="141" w:lineRule="exact"/>
              <w:rPr>
                <w:sz w:val="20"/>
                <w:szCs w:val="20"/>
                <w:color w:val="auto"/>
              </w:rPr>
            </w:pPr>
            <w:r>
              <w:rPr>
                <w:rFonts w:ascii="Arial" w:cs="Arial" w:eastAsia="Arial" w:hAnsi="Arial"/>
                <w:sz w:val="14"/>
                <w:szCs w:val="14"/>
                <w:color w:val="auto"/>
                <w:w w:val="94"/>
              </w:rPr>
              <w:t>Manufacturing</w:t>
            </w:r>
          </w:p>
        </w:tc>
        <w:tc>
          <w:tcPr>
            <w:tcW w:w="1300" w:type="dxa"/>
            <w:vAlign w:val="bottom"/>
            <w:gridSpan w:val="4"/>
          </w:tcPr>
          <w:p>
            <w:pPr>
              <w:jc w:val="right"/>
              <w:ind w:right="480"/>
              <w:spacing w:after="0" w:line="141" w:lineRule="exact"/>
              <w:rPr>
                <w:sz w:val="20"/>
                <w:szCs w:val="20"/>
                <w:color w:val="auto"/>
              </w:rPr>
            </w:pPr>
            <w:r>
              <w:rPr>
                <w:rFonts w:ascii="Arial" w:cs="Arial" w:eastAsia="Arial" w:hAnsi="Arial"/>
                <w:sz w:val="14"/>
                <w:szCs w:val="14"/>
                <w:color w:val="auto"/>
                <w:w w:val="96"/>
              </w:rPr>
              <w:t>Furniture and</w:t>
            </w:r>
          </w:p>
        </w:tc>
        <w:tc>
          <w:tcPr>
            <w:tcW w:w="120" w:type="dxa"/>
            <w:vAlign w:val="bottom"/>
          </w:tcPr>
          <w:p>
            <w:pPr>
              <w:spacing w:after="0"/>
              <w:rPr>
                <w:sz w:val="12"/>
                <w:szCs w:val="12"/>
                <w:color w:val="auto"/>
              </w:rPr>
            </w:pPr>
          </w:p>
        </w:tc>
        <w:tc>
          <w:tcPr>
            <w:tcW w:w="1460" w:type="dxa"/>
            <w:vAlign w:val="bottom"/>
            <w:gridSpan w:val="3"/>
          </w:tcPr>
          <w:p>
            <w:pPr>
              <w:jc w:val="center"/>
              <w:ind w:right="560"/>
              <w:spacing w:after="0" w:line="141" w:lineRule="exact"/>
              <w:rPr>
                <w:sz w:val="20"/>
                <w:szCs w:val="20"/>
                <w:color w:val="auto"/>
              </w:rPr>
            </w:pPr>
            <w:r>
              <w:rPr>
                <w:rFonts w:ascii="Arial" w:cs="Arial" w:eastAsia="Arial" w:hAnsi="Arial"/>
                <w:sz w:val="14"/>
                <w:szCs w:val="14"/>
                <w:color w:val="auto"/>
                <w:w w:val="92"/>
              </w:rPr>
              <w:t>Equipment</w:t>
            </w:r>
          </w:p>
        </w:tc>
        <w:tc>
          <w:tcPr>
            <w:tcW w:w="80" w:type="dxa"/>
            <w:vAlign w:val="bottom"/>
          </w:tcPr>
          <w:p>
            <w:pPr>
              <w:spacing w:after="0"/>
              <w:rPr>
                <w:sz w:val="12"/>
                <w:szCs w:val="12"/>
                <w:color w:val="auto"/>
              </w:rPr>
            </w:pPr>
          </w:p>
        </w:tc>
        <w:tc>
          <w:tcPr>
            <w:tcW w:w="1600" w:type="dxa"/>
            <w:vAlign w:val="bottom"/>
            <w:gridSpan w:val="3"/>
          </w:tcPr>
          <w:p>
            <w:pPr>
              <w:jc w:val="center"/>
              <w:ind w:right="560"/>
              <w:spacing w:after="0" w:line="141" w:lineRule="exact"/>
              <w:rPr>
                <w:sz w:val="20"/>
                <w:szCs w:val="20"/>
                <w:color w:val="auto"/>
              </w:rPr>
            </w:pPr>
            <w:r>
              <w:rPr>
                <w:rFonts w:ascii="Arial" w:cs="Arial" w:eastAsia="Arial" w:hAnsi="Arial"/>
                <w:sz w:val="14"/>
                <w:szCs w:val="14"/>
                <w:color w:val="auto"/>
                <w:w w:val="92"/>
              </w:rPr>
              <w:t>Leasehold</w:t>
            </w:r>
          </w:p>
        </w:tc>
        <w:tc>
          <w:tcPr>
            <w:tcW w:w="1300" w:type="dxa"/>
            <w:vAlign w:val="bottom"/>
            <w:gridSpan w:val="3"/>
          </w:tcPr>
          <w:p>
            <w:pPr>
              <w:spacing w:after="0" w:line="141" w:lineRule="exact"/>
              <w:rPr>
                <w:sz w:val="20"/>
                <w:szCs w:val="20"/>
                <w:color w:val="auto"/>
              </w:rPr>
            </w:pPr>
            <w:r>
              <w:rPr>
                <w:rFonts w:ascii="Arial" w:cs="Arial" w:eastAsia="Arial" w:hAnsi="Arial"/>
                <w:sz w:val="14"/>
                <w:szCs w:val="14"/>
                <w:color w:val="auto"/>
              </w:rPr>
              <w:t>Construction in</w:t>
            </w:r>
          </w:p>
        </w:tc>
        <w:tc>
          <w:tcPr>
            <w:tcW w:w="600" w:type="dxa"/>
            <w:vAlign w:val="bottom"/>
            <w:gridSpan w:val="3"/>
          </w:tcPr>
          <w:p>
            <w:pPr>
              <w:jc w:val="center"/>
              <w:ind w:right="160"/>
              <w:spacing w:after="0" w:line="141"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82"/>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impairment loss</w:t>
            </w:r>
          </w:p>
        </w:tc>
        <w:tc>
          <w:tcPr>
            <w:tcW w:w="1360" w:type="dxa"/>
            <w:vAlign w:val="bottom"/>
          </w:tcPr>
          <w:p>
            <w:pPr>
              <w:spacing w:after="0"/>
              <w:rPr>
                <w:sz w:val="15"/>
                <w:szCs w:val="15"/>
                <w:color w:val="auto"/>
              </w:rPr>
            </w:pPr>
          </w:p>
        </w:tc>
        <w:tc>
          <w:tcPr>
            <w:tcW w:w="1440" w:type="dxa"/>
            <w:vAlign w:val="bottom"/>
            <w:gridSpan w:val="4"/>
          </w:tcPr>
          <w:p>
            <w:pPr>
              <w:jc w:val="center"/>
              <w:ind w:right="440"/>
              <w:spacing w:after="0"/>
              <w:rPr>
                <w:sz w:val="20"/>
                <w:szCs w:val="20"/>
                <w:color w:val="auto"/>
              </w:rPr>
            </w:pPr>
            <w:r>
              <w:rPr>
                <w:rFonts w:ascii="Arial" w:cs="Arial" w:eastAsia="Arial" w:hAnsi="Arial"/>
                <w:sz w:val="14"/>
                <w:szCs w:val="14"/>
                <w:color w:val="auto"/>
                <w:w w:val="91"/>
              </w:rPr>
              <w:t xml:space="preserve">Equipment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300" w:type="dxa"/>
            <w:vAlign w:val="bottom"/>
            <w:gridSpan w:val="4"/>
          </w:tcPr>
          <w:p>
            <w:pPr>
              <w:jc w:val="right"/>
              <w:ind w:right="440"/>
              <w:spacing w:after="0"/>
              <w:rPr>
                <w:sz w:val="20"/>
                <w:szCs w:val="20"/>
                <w:color w:val="auto"/>
              </w:rPr>
            </w:pPr>
            <w:r>
              <w:rPr>
                <w:rFonts w:ascii="Arial" w:cs="Arial" w:eastAsia="Arial" w:hAnsi="Arial"/>
                <w:sz w:val="14"/>
                <w:szCs w:val="14"/>
                <w:color w:val="auto"/>
                <w:w w:val="91"/>
              </w:rPr>
              <w:t xml:space="preserve">Fixtures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580" w:type="dxa"/>
            <w:vAlign w:val="bottom"/>
            <w:gridSpan w:val="4"/>
          </w:tcPr>
          <w:p>
            <w:pPr>
              <w:jc w:val="center"/>
              <w:ind w:right="440"/>
              <w:spacing w:after="0"/>
              <w:rPr>
                <w:sz w:val="20"/>
                <w:szCs w:val="20"/>
                <w:color w:val="auto"/>
              </w:rPr>
            </w:pPr>
            <w:r>
              <w:rPr>
                <w:rFonts w:ascii="Arial" w:cs="Arial" w:eastAsia="Arial" w:hAnsi="Arial"/>
                <w:sz w:val="14"/>
                <w:szCs w:val="14"/>
                <w:color w:val="auto"/>
                <w:w w:val="91"/>
              </w:rPr>
              <w:t xml:space="preserve">and Software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680" w:type="dxa"/>
            <w:vAlign w:val="bottom"/>
            <w:gridSpan w:val="4"/>
          </w:tcPr>
          <w:p>
            <w:pPr>
              <w:jc w:val="center"/>
              <w:ind w:right="480"/>
              <w:spacing w:after="0"/>
              <w:rPr>
                <w:sz w:val="20"/>
                <w:szCs w:val="20"/>
                <w:color w:val="auto"/>
              </w:rPr>
            </w:pPr>
            <w:r>
              <w:rPr>
                <w:rFonts w:ascii="Arial" w:cs="Arial" w:eastAsia="Arial" w:hAnsi="Arial"/>
                <w:sz w:val="14"/>
                <w:szCs w:val="14"/>
                <w:color w:val="auto"/>
                <w:w w:val="91"/>
              </w:rPr>
              <w:t xml:space="preserve">Improvements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 xml:space="preserve">process </w:t>
            </w:r>
            <w:r>
              <w:rPr>
                <w:rFonts w:ascii="Arial" w:cs="Arial" w:eastAsia="Arial" w:hAnsi="Arial"/>
                <w:sz w:val="14"/>
                <w:szCs w:val="14"/>
                <w:u w:val="single" w:color="auto"/>
                <w:color w:val="auto"/>
              </w:rPr>
              <w:t>$</w:t>
            </w:r>
            <w:r>
              <w:rPr>
                <w:rFonts w:ascii="Arial" w:cs="Arial" w:eastAsia="Arial" w:hAnsi="Arial"/>
                <w:sz w:val="14"/>
                <w:szCs w:val="14"/>
                <w:color w:val="auto"/>
              </w:rPr>
              <w:t>000s</w:t>
            </w:r>
          </w:p>
        </w:tc>
        <w:tc>
          <w:tcPr>
            <w:tcW w:w="6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2018</w:t>
            </w: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(2,360)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(3,876)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(1,088)</w:t>
            </w:r>
          </w:p>
        </w:tc>
        <w:tc>
          <w:tcPr>
            <w:tcW w:w="38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(1,854)</w:t>
            </w:r>
          </w:p>
        </w:tc>
        <w:tc>
          <w:tcPr>
            <w:tcW w:w="3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(6,065)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Deconsolidation of subsidiaries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(2,968)</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(239)</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(1,030)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(2,955)</w:t>
            </w:r>
          </w:p>
        </w:tc>
        <w:tc>
          <w:tcPr>
            <w:tcW w:w="38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(7,192)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w w:val="97"/>
              </w:rPr>
              <w:t>Laboratory and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4"/>
                <w:szCs w:val="14"/>
                <w:color w:val="auto"/>
              </w:rPr>
              <w:t>Computer</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color w:val="auto"/>
                <w:w w:val="92"/>
              </w:rPr>
              <w:t>Property and Equipment, net</w:t>
            </w:r>
          </w:p>
        </w:tc>
        <w:tc>
          <w:tcPr>
            <w:tcW w:w="146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Manufacturing</w:t>
            </w:r>
          </w:p>
        </w:tc>
        <w:tc>
          <w:tcPr>
            <w:tcW w:w="160" w:type="dxa"/>
            <w:vAlign w:val="bottom"/>
          </w:tcPr>
          <w:p>
            <w:pPr>
              <w:spacing w:after="0"/>
              <w:rPr>
                <w:sz w:val="12"/>
                <w:szCs w:val="12"/>
                <w:color w:val="auto"/>
              </w:rPr>
            </w:pP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6"/>
              </w:rPr>
              <w:t>Furniture and</w:t>
            </w:r>
          </w:p>
        </w:tc>
        <w:tc>
          <w:tcPr>
            <w:tcW w:w="120" w:type="dxa"/>
            <w:vAlign w:val="bottom"/>
          </w:tcPr>
          <w:p>
            <w:pPr>
              <w:spacing w:after="0"/>
              <w:rPr>
                <w:sz w:val="12"/>
                <w:szCs w:val="12"/>
                <w:color w:val="auto"/>
              </w:rPr>
            </w:pPr>
          </w:p>
        </w:tc>
        <w:tc>
          <w:tcPr>
            <w:tcW w:w="14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Equipment</w:t>
            </w:r>
          </w:p>
        </w:tc>
        <w:tc>
          <w:tcPr>
            <w:tcW w:w="80" w:type="dxa"/>
            <w:vAlign w:val="bottom"/>
          </w:tcPr>
          <w:p>
            <w:pPr>
              <w:spacing w:after="0"/>
              <w:rPr>
                <w:sz w:val="12"/>
                <w:szCs w:val="12"/>
                <w:color w:val="auto"/>
              </w:rPr>
            </w:pPr>
          </w:p>
        </w:tc>
        <w:tc>
          <w:tcPr>
            <w:tcW w:w="16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2"/>
              </w:rPr>
              <w:t>Leasehold</w:t>
            </w:r>
          </w:p>
        </w:tc>
        <w:tc>
          <w:tcPr>
            <w:tcW w:w="13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4"/>
              </w:rPr>
              <w:t>Construction in</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4"/>
        </w:trPr>
        <w:tc>
          <w:tcPr>
            <w:tcW w:w="1660" w:type="dxa"/>
            <w:vAlign w:val="bottom"/>
            <w:tcBorders>
              <w:bottom w:val="single" w:sz="8" w:color="auto"/>
            </w:tcBorders>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220"/>
              <w:spacing w:after="0" w:line="154" w:lineRule="exact"/>
              <w:rPr>
                <w:sz w:val="20"/>
                <w:szCs w:val="20"/>
                <w:color w:val="auto"/>
              </w:rPr>
            </w:pPr>
            <w:r>
              <w:rPr>
                <w:rFonts w:ascii="Arial" w:cs="Arial" w:eastAsia="Arial" w:hAnsi="Arial"/>
                <w:sz w:val="14"/>
                <w:szCs w:val="14"/>
                <w:color w:val="auto"/>
                <w:w w:val="89"/>
              </w:rPr>
              <w:t xml:space="preserve">Equipment </w:t>
            </w: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c>
          <w:tcPr>
            <w:tcW w:w="160" w:type="dxa"/>
            <w:vAlign w:val="bottom"/>
          </w:tcPr>
          <w:p>
            <w:pPr>
              <w:spacing w:after="0"/>
              <w:rPr>
                <w:sz w:val="15"/>
                <w:szCs w:val="15"/>
                <w:color w:val="auto"/>
              </w:rPr>
            </w:pPr>
          </w:p>
        </w:tc>
        <w:tc>
          <w:tcPr>
            <w:tcW w:w="1140" w:type="dxa"/>
            <w:vAlign w:val="bottom"/>
            <w:gridSpan w:val="3"/>
          </w:tcPr>
          <w:p>
            <w:pPr>
              <w:jc w:val="right"/>
              <w:ind w:right="280"/>
              <w:spacing w:after="0" w:line="154" w:lineRule="exact"/>
              <w:rPr>
                <w:sz w:val="20"/>
                <w:szCs w:val="20"/>
                <w:color w:val="auto"/>
              </w:rPr>
            </w:pPr>
            <w:r>
              <w:rPr>
                <w:rFonts w:ascii="Arial" w:cs="Arial" w:eastAsia="Arial" w:hAnsi="Arial"/>
                <w:sz w:val="14"/>
                <w:szCs w:val="14"/>
                <w:color w:val="auto"/>
                <w:w w:val="91"/>
              </w:rPr>
              <w:t xml:space="preserve">Fixtures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20" w:type="dxa"/>
            <w:vAlign w:val="bottom"/>
          </w:tcPr>
          <w:p>
            <w:pPr>
              <w:spacing w:after="0"/>
              <w:rPr>
                <w:sz w:val="15"/>
                <w:szCs w:val="15"/>
                <w:color w:val="auto"/>
              </w:rPr>
            </w:pPr>
          </w:p>
        </w:tc>
        <w:tc>
          <w:tcPr>
            <w:tcW w:w="1460" w:type="dxa"/>
            <w:vAlign w:val="bottom"/>
            <w:gridSpan w:val="3"/>
          </w:tcPr>
          <w:p>
            <w:pPr>
              <w:jc w:val="right"/>
              <w:ind w:right="320"/>
              <w:spacing w:after="0" w:line="154" w:lineRule="exact"/>
              <w:rPr>
                <w:sz w:val="20"/>
                <w:szCs w:val="20"/>
                <w:color w:val="auto"/>
              </w:rPr>
            </w:pPr>
            <w:r>
              <w:rPr>
                <w:rFonts w:ascii="Arial" w:cs="Arial" w:eastAsia="Arial" w:hAnsi="Arial"/>
                <w:sz w:val="14"/>
                <w:szCs w:val="14"/>
                <w:color w:val="auto"/>
                <w:w w:val="89"/>
              </w:rPr>
              <w:t xml:space="preserve">and Software </w:t>
            </w: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c>
          <w:tcPr>
            <w:tcW w:w="80" w:type="dxa"/>
            <w:vAlign w:val="bottom"/>
          </w:tcPr>
          <w:p>
            <w:pPr>
              <w:spacing w:after="0"/>
              <w:rPr>
                <w:sz w:val="15"/>
                <w:szCs w:val="15"/>
                <w:color w:val="auto"/>
              </w:rPr>
            </w:pPr>
          </w:p>
        </w:tc>
        <w:tc>
          <w:tcPr>
            <w:tcW w:w="1600" w:type="dxa"/>
            <w:vAlign w:val="bottom"/>
            <w:gridSpan w:val="3"/>
          </w:tcPr>
          <w:p>
            <w:pPr>
              <w:jc w:val="center"/>
              <w:ind w:right="400"/>
              <w:spacing w:after="0" w:line="154" w:lineRule="exact"/>
              <w:rPr>
                <w:sz w:val="20"/>
                <w:szCs w:val="20"/>
                <w:color w:val="auto"/>
              </w:rPr>
            </w:pPr>
            <w:r>
              <w:rPr>
                <w:rFonts w:ascii="Arial" w:cs="Arial" w:eastAsia="Arial" w:hAnsi="Arial"/>
                <w:sz w:val="14"/>
                <w:szCs w:val="14"/>
                <w:color w:val="auto"/>
                <w:w w:val="91"/>
              </w:rPr>
              <w:t xml:space="preserve">Improvements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000s</w:t>
            </w:r>
          </w:p>
        </w:tc>
        <w:tc>
          <w:tcPr>
            <w:tcW w:w="130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 xml:space="preserve">process </w:t>
            </w:r>
            <w:r>
              <w:rPr>
                <w:rFonts w:ascii="Arial" w:cs="Arial" w:eastAsia="Arial" w:hAnsi="Arial"/>
                <w:sz w:val="14"/>
                <w:szCs w:val="14"/>
                <w:u w:val="single" w:color="auto"/>
                <w:color w:val="auto"/>
              </w:rPr>
              <w:t>$</w:t>
            </w:r>
            <w:r>
              <w:rPr>
                <w:rFonts w:ascii="Arial" w:cs="Arial" w:eastAsia="Arial" w:hAnsi="Arial"/>
                <w:sz w:val="14"/>
                <w:szCs w:val="14"/>
                <w:color w:val="auto"/>
              </w:rPr>
              <w:t>000s</w:t>
            </w:r>
          </w:p>
        </w:tc>
        <w:tc>
          <w:tcPr>
            <w:tcW w:w="60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4,084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3,070</w:t>
            </w: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Balance as of December 31, 2019</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4,417</w:t>
            </w:r>
          </w:p>
        </w:tc>
        <w:tc>
          <w:tcPr>
            <w:tcW w:w="13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1,213</w:t>
            </w:r>
          </w:p>
        </w:tc>
        <w:tc>
          <w:tcPr>
            <w:tcW w:w="15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478</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14,701</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646</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21,455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Depreciation of property and equipment is included in the General and administrative expenses and Research and development expenses line items in the Consolidated Statements of Comprehensive Income/(Loss). The Company recorded depreciation expense of $3.2 million, $2.5 million and $2.2 million for the years ended December 31, 2019, 2018 and 2017,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Intangible Assets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Intangible assets consist of licenses of intellectual property acquired by the Group through various agreements with third parties and are recorded at the value of cash and non-cash consideration transferred. Information regarding the cost and accumulated amortization of intangible assets is as follows:</w:t>
      </w:r>
    </w:p>
    <w:p>
      <w:pPr>
        <w:spacing w:after="0" w:line="13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Cost</w:t>
            </w:r>
          </w:p>
        </w:tc>
        <w:tc>
          <w:tcPr>
            <w:tcW w:w="37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Licenses</w:t>
            </w:r>
          </w:p>
        </w:tc>
        <w:tc>
          <w:tcPr>
            <w:tcW w:w="0" w:type="dxa"/>
            <w:vAlign w:val="bottom"/>
          </w:tcPr>
          <w:p>
            <w:pPr>
              <w:spacing w:after="0"/>
              <w:rPr>
                <w:sz w:val="1"/>
                <w:szCs w:val="1"/>
                <w:color w:val="auto"/>
              </w:rPr>
            </w:pPr>
          </w:p>
        </w:tc>
      </w:tr>
      <w:tr>
        <w:trPr>
          <w:trHeight w:val="154"/>
        </w:trPr>
        <w:tc>
          <w:tcPr>
            <w:tcW w:w="3040" w:type="dxa"/>
            <w:vAlign w:val="bottom"/>
            <w:gridSpan w:val="3"/>
            <w:vMerge w:val="continue"/>
          </w:tcPr>
          <w:p>
            <w:pPr>
              <w:spacing w:after="0"/>
              <w:rPr>
                <w:sz w:val="13"/>
                <w:szCs w:val="13"/>
                <w:color w:val="auto"/>
              </w:rPr>
            </w:pPr>
          </w:p>
        </w:tc>
        <w:tc>
          <w:tcPr>
            <w:tcW w:w="3760" w:type="dxa"/>
            <w:vAlign w:val="bottom"/>
          </w:tcPr>
          <w:p>
            <w:pPr>
              <w:spacing w:after="0"/>
              <w:rPr>
                <w:sz w:val="13"/>
                <w:szCs w:val="13"/>
                <w:color w:val="auto"/>
              </w:rPr>
            </w:pPr>
          </w:p>
        </w:tc>
        <w:tc>
          <w:tcPr>
            <w:tcW w:w="68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2018</w:t>
            </w:r>
          </w:p>
        </w:tc>
        <w:tc>
          <w:tcPr>
            <w:tcW w:w="37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44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4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040" w:type="dxa"/>
            <w:vAlign w:val="bottom"/>
            <w:gridSpan w:val="3"/>
          </w:tcPr>
          <w:p>
            <w:pPr>
              <w:spacing w:after="0"/>
              <w:rPr>
                <w:sz w:val="20"/>
                <w:szCs w:val="20"/>
                <w:color w:val="auto"/>
              </w:rPr>
            </w:pPr>
            <w:r>
              <w:rPr>
                <w:rFonts w:ascii="Arial" w:cs="Arial" w:eastAsia="Arial" w:hAnsi="Arial"/>
                <w:sz w:val="18"/>
                <w:szCs w:val="18"/>
                <w:color w:val="auto"/>
              </w:rPr>
              <w:t>Balance as of December 31, 2018</w:t>
            </w:r>
          </w:p>
        </w:tc>
        <w:tc>
          <w:tcPr>
            <w:tcW w:w="37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4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Deconsolidation of subsidiaries</w:t>
            </w:r>
          </w:p>
        </w:tc>
        <w:tc>
          <w:tcPr>
            <w:tcW w:w="37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3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60" w:type="dxa"/>
            <w:vAlign w:val="bottom"/>
          </w:tcPr>
          <w:p>
            <w:pPr>
              <w:ind w:left="540"/>
              <w:spacing w:after="0"/>
              <w:rPr>
                <w:sz w:val="20"/>
                <w:szCs w:val="20"/>
                <w:color w:val="auto"/>
              </w:rPr>
            </w:pPr>
            <w:r>
              <w:rPr>
                <w:rFonts w:ascii="Arial" w:cs="Arial" w:eastAsia="Arial" w:hAnsi="Arial"/>
                <w:sz w:val="18"/>
                <w:szCs w:val="18"/>
                <w:color w:val="auto"/>
              </w:rPr>
              <w:t>F-48</w:t>
            </w: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880"/>
        <w:spacing w:after="0"/>
        <w:rPr>
          <w:sz w:val="20"/>
          <w:szCs w:val="20"/>
          <w:color w:val="auto"/>
        </w:rPr>
      </w:pPr>
      <w:r>
        <w:rPr>
          <w:rFonts w:ascii="Arial" w:cs="Arial" w:eastAsia="Arial" w:hAnsi="Arial"/>
          <w:sz w:val="14"/>
          <w:szCs w:val="14"/>
          <w:u w:val="single" w:color="auto"/>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January 1, 2018</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subsidiary</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Balance as of December 31, 2018</w:t>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subsidiary</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-97155</wp:posOffset>
            </wp:positionV>
            <wp:extent cx="4749165"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880"/>
        <w:spacing w:after="0"/>
        <w:rPr>
          <w:sz w:val="20"/>
          <w:szCs w:val="20"/>
          <w:color w:val="auto"/>
        </w:rPr>
      </w:pPr>
      <w:r>
        <w:rPr>
          <w:rFonts w:ascii="Arial" w:cs="Arial" w:eastAsia="Arial" w:hAnsi="Arial"/>
          <w:sz w:val="14"/>
          <w:szCs w:val="14"/>
          <w:u w:val="single" w:color="auto"/>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Balance as of December 31, 2018</w:t>
      </w:r>
    </w:p>
    <w:p>
      <w:pPr>
        <w:spacing w:after="0" w:line="31"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Balance as of December 31, 2019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1920"/>
        <w:spacing w:after="0"/>
        <w:rPr>
          <w:sz w:val="20"/>
          <w:szCs w:val="20"/>
          <w:color w:val="auto"/>
        </w:rPr>
      </w:pPr>
      <w:r>
        <w:rPr>
          <w:rFonts w:ascii="Arial" w:cs="Arial" w:eastAsia="Arial" w:hAnsi="Arial"/>
          <w:sz w:val="13"/>
          <w:szCs w:val="13"/>
          <w:color w:val="auto"/>
        </w:rPr>
        <w:t>Licenses</w:t>
      </w:r>
    </w:p>
    <w:p>
      <w:pPr>
        <w:spacing w:after="0" w:line="11" w:lineRule="exact"/>
        <w:rPr>
          <w:sz w:val="20"/>
          <w:szCs w:val="20"/>
          <w:color w:val="auto"/>
        </w:rPr>
      </w:pPr>
    </w:p>
    <w:p>
      <w:pPr>
        <w:jc w:val="center"/>
        <w:ind w:right="1940"/>
        <w:spacing w:after="0"/>
        <w:rPr>
          <w:sz w:val="20"/>
          <w:szCs w:val="20"/>
          <w:color w:val="auto"/>
        </w:rPr>
      </w:pPr>
      <w:r>
        <w:rPr>
          <w:rFonts w:ascii="Arial" w:cs="Arial" w:eastAsia="Arial" w:hAnsi="Arial"/>
          <w:sz w:val="14"/>
          <w:szCs w:val="14"/>
          <w:color w:val="auto"/>
        </w:rPr>
        <w:t>$000s</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(1,709)</w:t>
      </w:r>
    </w:p>
    <w:p>
      <w:pPr>
        <w:spacing w:after="0" w:line="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(302)</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5715</wp:posOffset>
            </wp:positionV>
            <wp:extent cx="36004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29210</wp:posOffset>
            </wp:positionV>
            <wp:extent cx="3600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(117)</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5715</wp:posOffset>
            </wp:positionV>
            <wp:extent cx="36004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3600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55" w:lineRule="exact"/>
        <w:rPr>
          <w:sz w:val="20"/>
          <w:szCs w:val="20"/>
          <w:color w:val="auto"/>
        </w:rPr>
      </w:pPr>
    </w:p>
    <w:p>
      <w:pPr>
        <w:jc w:val="center"/>
        <w:ind w:right="1780"/>
        <w:spacing w:after="0"/>
        <w:rPr>
          <w:sz w:val="20"/>
          <w:szCs w:val="20"/>
          <w:color w:val="auto"/>
        </w:rPr>
      </w:pPr>
      <w:r>
        <w:rPr>
          <w:rFonts w:ascii="Arial" w:cs="Arial" w:eastAsia="Arial" w:hAnsi="Arial"/>
          <w:sz w:val="13"/>
          <w:szCs w:val="13"/>
          <w:color w:val="auto"/>
        </w:rPr>
        <w:t>Licenses</w:t>
      </w:r>
    </w:p>
    <w:p>
      <w:pPr>
        <w:spacing w:after="0" w:line="11" w:lineRule="exact"/>
        <w:rPr>
          <w:sz w:val="20"/>
          <w:szCs w:val="20"/>
          <w:color w:val="auto"/>
        </w:rPr>
      </w:pPr>
    </w:p>
    <w:p>
      <w:pPr>
        <w:jc w:val="center"/>
        <w:ind w:right="1780"/>
        <w:spacing w:after="0"/>
        <w:rPr>
          <w:sz w:val="20"/>
          <w:szCs w:val="20"/>
          <w:color w:val="auto"/>
        </w:rPr>
      </w:pPr>
      <w:r>
        <w:rPr>
          <w:rFonts w:ascii="Arial" w:cs="Arial" w:eastAsia="Arial" w:hAnsi="Arial"/>
          <w:sz w:val="14"/>
          <w:szCs w:val="14"/>
          <w:color w:val="auto"/>
        </w:rPr>
        <w:t>$000s</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3,080</w:t>
      </w:r>
    </w:p>
    <w:p>
      <w:pPr>
        <w:spacing w:after="0" w:line="8" w:lineRule="exact"/>
        <w:rPr>
          <w:sz w:val="20"/>
          <w:szCs w:val="20"/>
          <w:color w:val="auto"/>
        </w:rPr>
      </w:pPr>
    </w:p>
    <w:p>
      <w:pPr>
        <w:jc w:val="right"/>
        <w:ind w:right="1840"/>
        <w:spacing w:after="0"/>
        <w:rPr>
          <w:sz w:val="20"/>
          <w:szCs w:val="20"/>
          <w:color w:val="auto"/>
        </w:rPr>
      </w:pPr>
      <w:r>
        <w:rPr>
          <w:rFonts w:ascii="Arial" w:cs="Arial" w:eastAsia="Arial" w:hAnsi="Arial"/>
          <w:sz w:val="18"/>
          <w:szCs w:val="18"/>
          <w:b w:val="1"/>
          <w:bCs w:val="1"/>
          <w:color w:val="auto"/>
        </w:rPr>
        <w:t>625</w:t>
      </w:r>
    </w:p>
    <w:p>
      <w:pPr>
        <w:spacing w:after="0" w:line="200" w:lineRule="exact"/>
        <w:rPr>
          <w:sz w:val="20"/>
          <w:szCs w:val="20"/>
          <w:color w:val="auto"/>
        </w:rPr>
      </w:pPr>
    </w:p>
    <w:p>
      <w:pPr>
        <w:sectPr>
          <w:pgSz w:w="11900" w:h="16838" w:orient="portrait"/>
          <w:cols w:equalWidth="0" w:num="2">
            <w:col w:w="7980" w:space="720"/>
            <w:col w:w="2440"/>
          </w:cols>
          <w:pgMar w:left="320" w:top="459" w:right="439" w:bottom="1440" w:gutter="0" w:footer="0" w:header="0"/>
          <w:type w:val="continuous"/>
        </w:sectPr>
      </w:pPr>
    </w:p>
    <w:p>
      <w:pPr>
        <w:spacing w:after="0" w:line="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intangible asset licenses represent in-process-research-and-development assets since they are still being developed and are not ready for their intended use. As such, these assets are not yet amortized but tested for impairment annually. The Company tested such assets for impairment as of balance sheet date and concluded that none were impaired. During the year ended December 31, 2019, Vor, Karuna and Gelesis were deconsolidated and as such $2.7 million in net assets were derecognized.</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Amortization expense is included in the Research and development expenses line item in the accompanying Consolidated Statements of Comprehensive Income/(Loss). Amortization expense, recorded using the straight-line method, was approximately $0.1 million, $0.3 million and $0.5 million for the years ended December 31, 2019, 2018 and 2017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Other Financial Assets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Other financial assets consist of restricted cash held, which represents amounts that are reserved as collateral against letters of credit with a bank that are issued for the benefit of a landlord in lieu of a security deposit for office space leased by the Group. Information regarding restricted cash was as follows: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680" w:type="dxa"/>
            <w:vAlign w:val="bottom"/>
            <w:vMerge w:val="restart"/>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9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62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Restricted cash</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2,124</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 other financial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equity for PureTech as of December 31, 2019 and 2018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color w:val="auto"/>
                <w:w w:val="92"/>
              </w:rPr>
              <w:t>Equity</w:t>
            </w:r>
          </w:p>
        </w:tc>
        <w:tc>
          <w:tcPr>
            <w:tcW w:w="8440" w:type="dxa"/>
            <w:vAlign w:val="bottom"/>
            <w:vMerge w:val="restart"/>
          </w:tcPr>
          <w:p>
            <w:pPr>
              <w:spacing w:after="0"/>
              <w:rPr>
                <w:sz w:val="12"/>
                <w:szCs w:val="12"/>
                <w:color w:val="auto"/>
              </w:rPr>
            </w:pPr>
          </w:p>
        </w:tc>
        <w:tc>
          <w:tcPr>
            <w:tcW w:w="8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80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$000s</w:t>
            </w:r>
          </w:p>
        </w:tc>
        <w:tc>
          <w:tcPr>
            <w:tcW w:w="0" w:type="dxa"/>
            <w:vAlign w:val="bottom"/>
          </w:tcPr>
          <w:p>
            <w:pPr>
              <w:spacing w:after="0"/>
              <w:rPr>
                <w:sz w:val="1"/>
                <w:szCs w:val="1"/>
                <w:color w:val="auto"/>
              </w:rPr>
            </w:pPr>
          </w:p>
        </w:tc>
      </w:tr>
      <w:tr>
        <w:trPr>
          <w:trHeight w:val="20"/>
        </w:trPr>
        <w:tc>
          <w:tcPr>
            <w:tcW w:w="8820" w:type="dxa"/>
            <w:vAlign w:val="bottom"/>
            <w:gridSpan w:val="2"/>
            <w:vMerge w:val="restart"/>
            <w:shd w:val="clear" w:color="auto" w:fill="CCEEFF"/>
          </w:tcPr>
          <w:p>
            <w:pPr>
              <w:spacing w:after="0" w:line="195" w:lineRule="exact"/>
              <w:rPr>
                <w:sz w:val="20"/>
                <w:szCs w:val="20"/>
                <w:color w:val="auto"/>
              </w:rPr>
            </w:pPr>
            <w:r>
              <w:rPr>
                <w:rFonts w:ascii="Arial" w:cs="Arial" w:eastAsia="Arial" w:hAnsi="Arial"/>
                <w:sz w:val="18"/>
                <w:szCs w:val="18"/>
                <w:color w:val="auto"/>
                <w:w w:val="96"/>
              </w:rPr>
              <w:t>Share capital, £0.01 par value, issued and paid 285,370,619 and 282,493,867 as of December 31, 2019 and 2018,</w:t>
            </w: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20" w:type="dxa"/>
            <w:vAlign w:val="bottom"/>
            <w:gridSpan w:val="2"/>
            <w:vMerge w:val="continue"/>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5,408</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80" w:type="dxa"/>
            <w:vAlign w:val="bottom"/>
            <w:gridSpan w:val="2"/>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Merger Reserve</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138,506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138,506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premium</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287,962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278,385</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Translation reserve</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(18,282)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Retained earnings/(accumulated deficit)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254,444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(167,692)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668,037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275,507</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(17,640)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(108,535)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650,397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166,972</w:t>
            </w:r>
          </w:p>
        </w:tc>
        <w:tc>
          <w:tcPr>
            <w:tcW w:w="0" w:type="dxa"/>
            <w:vAlign w:val="bottom"/>
          </w:tcPr>
          <w:p>
            <w:pPr>
              <w:spacing w:after="0"/>
              <w:rPr>
                <w:sz w:val="1"/>
                <w:szCs w:val="1"/>
                <w:color w:val="auto"/>
              </w:rPr>
            </w:pPr>
          </w:p>
        </w:tc>
      </w:tr>
      <w:tr>
        <w:trPr>
          <w:trHeight w:val="371"/>
        </w:trPr>
        <w:tc>
          <w:tcPr>
            <w:tcW w:w="380" w:type="dxa"/>
            <w:vAlign w:val="bottom"/>
          </w:tcPr>
          <w:p>
            <w:pPr>
              <w:spacing w:after="0"/>
              <w:rPr>
                <w:sz w:val="24"/>
                <w:szCs w:val="24"/>
                <w:color w:val="auto"/>
              </w:rPr>
            </w:pPr>
          </w:p>
        </w:tc>
        <w:tc>
          <w:tcPr>
            <w:tcW w:w="8440" w:type="dxa"/>
            <w:vAlign w:val="bottom"/>
          </w:tcPr>
          <w:p>
            <w:pPr>
              <w:ind w:left="4960"/>
              <w:spacing w:after="0"/>
              <w:rPr>
                <w:sz w:val="20"/>
                <w:szCs w:val="20"/>
                <w:color w:val="auto"/>
              </w:rPr>
            </w:pPr>
            <w:r>
              <w:rPr>
                <w:rFonts w:ascii="Arial" w:cs="Arial" w:eastAsia="Arial" w:hAnsi="Arial"/>
                <w:sz w:val="18"/>
                <w:szCs w:val="18"/>
                <w:color w:val="auto"/>
              </w:rPr>
              <w:t>F-49</w:t>
            </w:r>
          </w:p>
        </w:tc>
        <w:tc>
          <w:tcPr>
            <w:tcW w:w="8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Changes in share capital and share premium relate primarily to acquisition of Ariya non-controlling interest and incentive options exercises during the period.</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Shareholders are entitled to vote on all matters submitted to shareholders for a vote. Each ordinary share is entitled to one vote. Each ordinary share is entitled to receive dividends when and if declared by the Company’s Directors. The Company has not declared any dividends in the past.</w:t>
      </w:r>
    </w:p>
    <w:p>
      <w:pPr>
        <w:spacing w:after="0" w:line="12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On June 18, 2015, the Company acquired the entire issued share capital of PureTech LLC in return for 159,648,387 Ordinary Shares. This was accounted for as a common control transaction at cost. It was deemed that the share capital was issued in line with movements in share capital as shown prior to the transaction taking place. In addition, the merger reserve records amounts previously recorded as share premium.</w:t>
      </w:r>
    </w:p>
    <w:p>
      <w:pPr>
        <w:spacing w:after="0" w:line="1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Other reserves comprise the cumulative credit to share-based payment reserves corresponding to share-based payment expenses recognized through Consolidated Statements of Comprehensive Income/(Loss).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Subsidiary Preferred Shares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IFRS 9 addresses the classification, measurement, and recognition of financial liabilities. Preferred shares issued by subsidiaries and affiliates often contain redemption and conversion features that are assessed under IFRS 9 in conjunction with the host preferred share instrument.</w:t>
      </w:r>
    </w:p>
    <w:p>
      <w:pPr>
        <w:spacing w:after="0" w:line="12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subsidiary preferred shares are convertible into ordinary shares of the subsidiaries at the option of the holder and mandatorily convertible into ordinary shares upon a subsidiary listing in a public market at a price above that specified in the subsidiary’s charter or upon the vote of the holders of subsidiary preferred shares specified in the charter. Under certain scenarios the number of ordinary shares receivable on conversion will change and therefore, a variable number of shares will be issued. Because the possible conversion of the preferred shares is outside of the control of the Group, these have been classified as liabilities on the balance sheet and subsequently remeasured at fair value through the profit and loss.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preferred shares are entitled to vote with holders of common shares on an as converted basis.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Group recognizes the preferred share balance upon the receipt of cash financing or upon the conversion of notes into preferred shares at the amount received or carrying balance of any notes and derivatives converted into preferred shares. Preferred shares are not allocated a proportion of the subsidiary losses.</w:t>
      </w:r>
    </w:p>
    <w:p>
      <w:pPr>
        <w:spacing w:after="0" w:line="184"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The balance as of December 31, 2019 and 2018 represents the fair value of the instruments for all subsidiary preferred shares except for Tal, which represents the host instrument at amortized cost. The following summarizes the subsidiary preferred share balance:</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180" w:type="dxa"/>
            <w:vAlign w:val="bottom"/>
            <w:vMerge w:val="restart"/>
          </w:tcPr>
          <w:p>
            <w:pPr>
              <w:spacing w:after="0"/>
              <w:rPr>
                <w:sz w:val="14"/>
                <w:szCs w:val="14"/>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Entrega</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3,222</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Follica</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11,663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Gelesis</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140,192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Karuna</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32,342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Sonde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7,212</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The Sync Project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Vedanta Biosciences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78,892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subsidiary preferred share balance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100,989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217,519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the total subsidiary preferred share balance decreased owing to the deconsolidation of Karuna and Gelesis.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spacing w:after="0" w:line="16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2019 and 2018, the minimum liquidation preference reflects the amounts that would be payable to the subsidiary preferred holders upon a liquidation event of the subsidiaries, which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340" w:type="dxa"/>
            <w:vAlign w:val="bottom"/>
            <w:vMerge w:val="restart"/>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0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Entrega</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2,216</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Follica</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6,405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Gelesis</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77,301</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Karuna</w:t>
            </w:r>
          </w:p>
        </w:tc>
        <w:tc>
          <w:tcPr>
            <w:tcW w:w="10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24,343</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Sonde</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7,250</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Sync</w:t>
            </w:r>
          </w:p>
        </w:tc>
        <w:tc>
          <w:tcPr>
            <w:tcW w:w="10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Vedanta Biosciences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77,161</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minimum liquidation preference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93,032</w:t>
            </w: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2018, Tal ceased operations and was in the process of liquidated. Therefore, the liquidation preference shown above equals the cash on hand, as this will be paid out to existing investors.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the minimum liquidation preference decreased owing to the deconsolidation of Karuna and Gelesis.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years ended December 31, 2019, 2018 and 2017, the Group recognized the following changes in the value of subsidiary preferred shares: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$000s</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Issuance of new preferred shares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54,537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Decrease in value of preferred shares measured at fair value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(23,110)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 of The Sync Group</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Deconsolidation of subsidiary</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(36,517)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Balance as of December 31, 2018 and January 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217,519</w:t>
            </w:r>
          </w:p>
        </w:tc>
        <w:tc>
          <w:tcPr>
            <w:tcW w:w="12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Issuance of new preferred shares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51,048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Conversion of convertible notes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4,894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value of preferred shares measured at fair value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33,636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Finance costs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(207,346)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100,989</w:t>
            </w:r>
          </w:p>
        </w:tc>
        <w:tc>
          <w:tcPr>
            <w:tcW w:w="120" w:type="dxa"/>
            <w:vAlign w:val="bottom"/>
          </w:tcPr>
          <w:p>
            <w:pPr>
              <w:spacing w:after="0"/>
              <w:rPr>
                <w:sz w:val="19"/>
                <w:szCs w:val="19"/>
                <w:color w:val="auto"/>
              </w:rPr>
            </w:pPr>
          </w:p>
        </w:tc>
      </w:tr>
      <w:tr>
        <w:trPr>
          <w:trHeight w:val="372"/>
        </w:trPr>
        <w:tc>
          <w:tcPr>
            <w:tcW w:w="7440" w:type="dxa"/>
            <w:vAlign w:val="bottom"/>
          </w:tcPr>
          <w:p>
            <w:pPr>
              <w:ind w:left="4020"/>
              <w:spacing w:after="0"/>
              <w:rPr>
                <w:sz w:val="20"/>
                <w:szCs w:val="20"/>
                <w:color w:val="auto"/>
              </w:rPr>
            </w:pPr>
            <w:r>
              <w:rPr>
                <w:rFonts w:ascii="Arial" w:cs="Arial" w:eastAsia="Arial" w:hAnsi="Arial"/>
                <w:sz w:val="18"/>
                <w:szCs w:val="18"/>
                <w:color w:val="auto"/>
              </w:rPr>
              <w:t>F-51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March 15, 2019, Karuna was deconsolidated. As of deconsolidation, the fair value of Karuna’s preferred share liability was $31.7 million.</w:t>
      </w:r>
    </w:p>
    <w:p>
      <w:pPr>
        <w:spacing w:after="0" w:line="23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April 4, 2019, Sonde Health issued and sold shares of Series A-2 preferred shares for aggregate proceeds of $11.1 million, of which $5.3 million was contributed by outside investors. Approximately $5.8 million of outstanding principal and interest on convertible promissory notes issued by Sonde to PureTech converted into Series A-2 preferred shares in this financing in accordance with their terms. On August 29, 2019, Sonde sold an additional 1,052,632 shares of its Series A-2 preferred shares for aggregate proceeds of $2.0 million. It has been determined that these shares are liability classified and contain a liability classified embedded derivative. This embedded derivative is a conversion feature which can result in settlement in a variable number of shares. The instrument is not bifurcated and is measured in whole at fair value through the profit and loss.</w:t>
      </w:r>
    </w:p>
    <w:p>
      <w:pPr>
        <w:spacing w:after="0" w:line="16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April 2019, Gelesis completed further closings of its Series 2 Growth financing issuing 799,894 shares for proceeds of $10.2 million, of which $8.6 million was contributed by outside investors and $1.6 million was contributed by PureTech.</w:t>
      </w:r>
    </w:p>
    <w:p>
      <w:pPr>
        <w:spacing w:after="0" w:line="170"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In March and May 2019, Vedanta completed a second and third closing of its Series C preferred shares financing for aggregate proceeds of $18.7 million. PureTech Health did not participate in either closing. It has been determined that these shares are liability classified and contain a liability classified embedded derivative. This embedded derivative is a conversion feature which can result in settlement in a variable number of shares. The instrument is not bifurcated and is measured in whole at fair value through the profit and loss.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1, 2019, Gelesis was deconsolidated. As of deconsolidation, the fair value of Gelesis’ preferred share liability was $175.6 million.</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On July 19, 2019, all of the outstanding notes, plus accrued interest, issued by Follica converted into 17,639,204 shares of Series A-3 Preferred Shares and 14,200,044 shares of common share pursuant to a Series A-3 Note Conversion Agreement between Follica and the noteholders. Third parties held 2,422,990 A-3 preferred shares following the conversion. It has been determined that these shares are liability classified and contain a liability classified embedded derivative. This embedded derivative is a conversion feature which can result in settlement in a variable number of shares. The instrument is not bifurcated and is measured in whole at fair value through the profit and loss.</w:t>
      </w:r>
    </w:p>
    <w:p>
      <w:pPr>
        <w:spacing w:after="0" w:line="176"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In September 2019, Vedanta received $16.7 million from outside investors through the issuance of its Series C-2 preferred shares in two separate closings. The issuances provided for the purchase of 711,772 Series C-2 shares at a purchase price of $23.28. PureTech Health did not participate in either closing. It has been determined that these shares are liability classified and contain a liability classified embedded derivative. This embedded derivative is a conversion feature which can result in settlement in a variable number of shares. The instrument is not bifurcated and is measured in whole at fair value through the profit and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2018, Gelesis received $16.8 million from outside investors through the issuance of its Series 2 Growth preferred shares as part of a $30.0 million financing with multiple closings. It has been determined that these shares are liability classified and contain a liability classified embedded derivative. This embedded derivative is a conversion feature which can result in settlement in a variable number of shares. The instrument is not bifurcated and is measured in whole at fair value through the profit and loss.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May 2018, Akili issued Series C preferred shares for aggregate proceeds of $55.0 million; PureTech Health did not participate in this financing. Upon closing of Akili’s Series C financing, the subsidiary was deconsolidated by PureTech Health (please refer to Note 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August 2018, Karuna issued Series A preferred shares for aggregate proceeds of $42.1 million, of which $23.9 million came from outside investors. In conjunction with the August 2018 issuance of Series A preferred shares, $26.1 million of outstanding principal and accrued interest on notes payable converted, of which $7.9 million related to outside investors. It has been determined that these shares are liability classified and contain a liability classified embedded derivative. The instrument is not bifurcated and is measured in whole at fair value through the profit and loss.</w:t>
      </w:r>
    </w:p>
    <w:p>
      <w:pPr>
        <w:spacing w:after="0" w:line="15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On December 21, 2018, Vedanta issued Series C preferred shares for aggregate proceeds of $26.7 million, of which $21.7 million came from outside investors. It has been determined that these shares are liability classified and contain a liability classified embedded derivative. The instrument is not bifurcated and is measured in whole at fair value through the profit and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Financial Instruments</w:t>
      </w:r>
    </w:p>
    <w:p>
      <w:pPr>
        <w:spacing w:after="0" w:line="121"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color w:val="auto"/>
        </w:rPr>
        <w:t>The Group’s financial instruments consist of financial liabilities, including preferred shares, convertible notes, warrants and loans payable, as well as financial assets classified as assets held at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Preferred Shares Liability and Subsidiary Convertible Notes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summarizes the changes in the Group’s subsidiary preferred shares and convertible note liabilities measured at fair value using significant unobservable inputs (Level 3):</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Subsidiary</w:t>
            </w:r>
          </w:p>
        </w:tc>
        <w:tc>
          <w:tcPr>
            <w:tcW w:w="4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Subsidiary</w:t>
            </w: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600" w:type="dxa"/>
            <w:vAlign w:val="bottom"/>
            <w:gridSpan w:val="3"/>
          </w:tcPr>
          <w:p>
            <w:pPr>
              <w:jc w:val="center"/>
              <w:ind w:left="632"/>
              <w:spacing w:after="0" w:line="149" w:lineRule="exact"/>
              <w:rPr>
                <w:sz w:val="20"/>
                <w:szCs w:val="20"/>
                <w:color w:val="auto"/>
              </w:rPr>
            </w:pPr>
            <w:r>
              <w:rPr>
                <w:rFonts w:ascii="Arial" w:cs="Arial" w:eastAsia="Arial" w:hAnsi="Arial"/>
                <w:sz w:val="14"/>
                <w:szCs w:val="14"/>
                <w:color w:val="auto"/>
                <w:w w:val="90"/>
              </w:rPr>
              <w:t>Preferred Shares</w:t>
            </w:r>
          </w:p>
        </w:tc>
        <w:tc>
          <w:tcPr>
            <w:tcW w:w="1580" w:type="dxa"/>
            <w:vAlign w:val="bottom"/>
            <w:gridSpan w:val="3"/>
          </w:tcPr>
          <w:p>
            <w:pPr>
              <w:jc w:val="center"/>
              <w:ind w:left="192"/>
              <w:spacing w:after="0" w:line="149" w:lineRule="exact"/>
              <w:rPr>
                <w:sz w:val="20"/>
                <w:szCs w:val="20"/>
                <w:color w:val="auto"/>
              </w:rPr>
            </w:pPr>
            <w:r>
              <w:rPr>
                <w:rFonts w:ascii="Arial" w:cs="Arial" w:eastAsia="Arial" w:hAnsi="Arial"/>
                <w:sz w:val="14"/>
                <w:szCs w:val="14"/>
                <w:color w:val="auto"/>
                <w:w w:val="95"/>
              </w:rPr>
              <w:t>Convertible Notes</w:t>
            </w: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$000s</w:t>
            </w:r>
          </w:p>
        </w:tc>
        <w:tc>
          <w:tcPr>
            <w:tcW w:w="4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$000s</w:t>
            </w: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Value at issuance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54,537</w:t>
            </w:r>
          </w:p>
        </w:tc>
        <w:tc>
          <w:tcPr>
            <w:tcW w:w="4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4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(7,581)</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Deconsolidation of preferred shares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(36,517)</w:t>
            </w: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(24,066)</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 and January 1, 2019</w:t>
            </w:r>
          </w:p>
        </w:tc>
        <w:tc>
          <w:tcPr>
            <w:tcW w:w="1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217,519</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Value at issuance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Conversion to preferred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4,894</w:t>
            </w:r>
          </w:p>
        </w:tc>
        <w:tc>
          <w:tcPr>
            <w:tcW w:w="460" w:type="dxa"/>
            <w:vAlign w:val="bottom"/>
          </w:tcPr>
          <w:p>
            <w:pPr>
              <w:spacing w:after="0"/>
              <w:rPr>
                <w:sz w:val="18"/>
                <w:szCs w:val="18"/>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(4,894)</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common</w:t>
            </w:r>
          </w:p>
        </w:tc>
        <w:tc>
          <w:tcPr>
            <w:tcW w:w="1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(2,418)</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Deconsolidation</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(207,346)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(5,017)</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33,636</w:t>
            </w: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Finance Costs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1,458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Cash distribution</w:t>
            </w:r>
          </w:p>
        </w:tc>
        <w:tc>
          <w:tcPr>
            <w:tcW w:w="12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100,989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For financial instruments measured at fair value under IFRS 9 the change in the fair value of the entire instrument is reflected through profit and loss. The techniques used to determine fair value of the preferred shares and convertible notes included the market approach, the market backsolve approach and the discounted cash flow income approach. A market approach uses prices and other relevant information generated by recent market transactions involving identical or comparable assets or liabilities. The discounted cash flow income approach, which represents a Level 3 approach, relies upon unobservable inputs that are supported by little or no market activity and that are significant to determining the fair value of certain assets or liabilities. The market backsolve method is derived from the total equity that is implied by the most recent financing round in which the only truly observable value indicator is the financing round and the economic rights and the allocation inputs are implied by the terms of the financing, while volatility and term are Management inputs within the option pricing-method.</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During the years ended December 31, 2019 and 2018, at each measurement date, the total fair value of preferred share, warrants and convertible note instruments, including embedded conversion rights that are not bifurcated,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20"/>
          </w:cols>
          <w:pgMar w:left="320" w:top="459" w:right="5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determined using an OPM, PWERM or with or without framework which consisted of a three-step process detailed below.</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First, the total business enterprise value of each business within the Group was determined using a discounted cash flow income approach or market approach, or market backsolve approach through a recent arm’s length financing round.</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Second, the principal methods that the Group applies for the allocation of value are the Option Pricing Method (“OPM”) and the Probability-Weighted Expected Return Method (“PWERM”).</w:t>
      </w:r>
    </w:p>
    <w:p>
      <w:pPr>
        <w:spacing w:after="0" w:line="76" w:lineRule="exact"/>
        <w:rPr>
          <w:sz w:val="20"/>
          <w:szCs w:val="20"/>
          <w:color w:val="auto"/>
        </w:rPr>
      </w:pPr>
    </w:p>
    <w:p>
      <w:pPr>
        <w:ind w:left="1080" w:hanging="424"/>
        <w:spacing w:after="0" w:line="259"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OPM treats outstanding securities as call options on the enterprise’s value or overall equity value. The value of a security is based on the optionality over and above the value of securities that are senior in the capital structure (e.g. preferred shares), which takes into consideration the dilutive effects of subordinate securities. In the OPM, the exercise price is based on a comparison with the overall equity value rather than per-share value.</w:t>
      </w:r>
    </w:p>
    <w:p>
      <w:pPr>
        <w:spacing w:after="0" w:line="92"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PWERM estimates the value of equity securities based on an analysis of various discrete future outcomes, such as an IPO, merger or sale, dissolution, or continued operation as a private or public enterprise until a later exit date. The equity value today is based on the probability-weighted present values of expected future investment returns, considering each of the possible outcomes available to the enterprise, as well as the rights of each security class.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Third, the fair value of the preferred shares was determined as the calculated business enterprise value allocated to the outstanding preferred share classes treated as call options within the OPM or the value of preferred shares on a converted common share basis within the PWERM. For convertible notes, the fair value of the instrument, including the embedded conversion right which was not bifurcated, was also calculated using a with or without method.</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Quantitative information about the significant unobservable inputs used in the fair value measurement of the Group’s embedded derivative liability related to the subsidiary preferred shares designated as Level 3 is as follows: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Pricing Model Inputs for Preferred Shares and Convertible Notes Liabilities under IFRS 9 at December 31, 2019:</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color w:val="auto"/>
                <w:w w:val="98"/>
              </w:rPr>
              <w:t>Range of Values</w:t>
            </w: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3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spacing w:after="0" w:line="123" w:lineRule="exact"/>
              <w:rPr>
                <w:sz w:val="20"/>
                <w:szCs w:val="20"/>
                <w:color w:val="auto"/>
              </w:rPr>
            </w:pPr>
            <w:r>
              <w:rPr>
                <w:rFonts w:ascii="Arial" w:cs="Arial" w:eastAsia="Arial" w:hAnsi="Arial"/>
                <w:sz w:val="14"/>
                <w:szCs w:val="14"/>
                <w:color w:val="auto"/>
              </w:rPr>
              <w:t>Probability of</w:t>
            </w:r>
          </w:p>
        </w:tc>
        <w:tc>
          <w:tcPr>
            <w:tcW w:w="80" w:type="dxa"/>
            <w:vAlign w:val="bottom"/>
          </w:tcPr>
          <w:p>
            <w:pPr>
              <w:spacing w:after="0"/>
              <w:rPr>
                <w:sz w:val="10"/>
                <w:szCs w:val="10"/>
                <w:color w:val="auto"/>
              </w:rPr>
            </w:pPr>
          </w:p>
        </w:tc>
      </w:tr>
      <w:tr>
        <w:trPr>
          <w:trHeight w:val="167"/>
        </w:trPr>
        <w:tc>
          <w:tcPr>
            <w:tcW w:w="3840" w:type="dxa"/>
            <w:vAlign w:val="bottom"/>
          </w:tcPr>
          <w:p>
            <w:pPr>
              <w:spacing w:after="0"/>
              <w:rPr>
                <w:sz w:val="20"/>
                <w:szCs w:val="20"/>
                <w:color w:val="auto"/>
              </w:rPr>
            </w:pPr>
            <w:r>
              <w:rPr>
                <w:rFonts w:ascii="Arial" w:cs="Arial" w:eastAsia="Arial" w:hAnsi="Arial"/>
                <w:sz w:val="14"/>
                <w:szCs w:val="14"/>
                <w:color w:val="auto"/>
              </w:rPr>
              <w:t>Measurement Date</w:t>
            </w:r>
          </w:p>
        </w:tc>
        <w:tc>
          <w:tcPr>
            <w:tcW w:w="1620" w:type="dxa"/>
            <w:vAlign w:val="bottom"/>
            <w:gridSpan w:val="2"/>
          </w:tcPr>
          <w:p>
            <w:pPr>
              <w:ind w:left="220"/>
              <w:spacing w:after="0"/>
              <w:rPr>
                <w:sz w:val="20"/>
                <w:szCs w:val="20"/>
                <w:color w:val="auto"/>
              </w:rPr>
            </w:pPr>
            <w:r>
              <w:rPr>
                <w:rFonts w:ascii="Arial" w:cs="Arial" w:eastAsia="Arial" w:hAnsi="Arial"/>
                <w:sz w:val="14"/>
                <w:szCs w:val="14"/>
                <w:color w:val="auto"/>
              </w:rPr>
              <w:t>Expiration Date</w:t>
            </w:r>
          </w:p>
        </w:tc>
        <w:tc>
          <w:tcPr>
            <w:tcW w:w="2060" w:type="dxa"/>
            <w:vAlign w:val="bottom"/>
            <w:gridSpan w:val="3"/>
          </w:tcPr>
          <w:p>
            <w:pPr>
              <w:ind w:left="540"/>
              <w:spacing w:after="0"/>
              <w:rPr>
                <w:sz w:val="20"/>
                <w:szCs w:val="20"/>
                <w:color w:val="auto"/>
              </w:rPr>
            </w:pPr>
            <w:r>
              <w:rPr>
                <w:rFonts w:ascii="Arial" w:cs="Arial" w:eastAsia="Arial" w:hAnsi="Arial"/>
                <w:sz w:val="14"/>
                <w:szCs w:val="14"/>
                <w:color w:val="auto"/>
              </w:rPr>
              <w:t>Volatility</w:t>
            </w:r>
          </w:p>
        </w:tc>
        <w:tc>
          <w:tcPr>
            <w:tcW w:w="1540" w:type="dxa"/>
            <w:vAlign w:val="bottom"/>
            <w:gridSpan w:val="2"/>
          </w:tcPr>
          <w:p>
            <w:pPr>
              <w:ind w:left="120"/>
              <w:spacing w:after="0"/>
              <w:rPr>
                <w:sz w:val="20"/>
                <w:szCs w:val="20"/>
                <w:color w:val="auto"/>
              </w:rPr>
            </w:pPr>
            <w:r>
              <w:rPr>
                <w:rFonts w:ascii="Arial" w:cs="Arial" w:eastAsia="Arial" w:hAnsi="Arial"/>
                <w:sz w:val="14"/>
                <w:szCs w:val="14"/>
                <w:color w:val="auto"/>
              </w:rPr>
              <w:t>Risk Free Rate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IPO/M&amp;A</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12/31/2017</w:t>
            </w:r>
          </w:p>
        </w:tc>
        <w:tc>
          <w:tcPr>
            <w:tcW w:w="13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1.0 – 3.5 years</w:t>
            </w:r>
          </w:p>
        </w:tc>
        <w:tc>
          <w:tcPr>
            <w:tcW w:w="2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50.00% – 80.00%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1.70% – 2.04%</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12/31/2018</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0.3 – 2.5 years</w:t>
            </w: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45.00% – 85.00%</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2.47% – 2.60%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12/31/2019</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0.7 – 2.0 years</w:t>
            </w:r>
          </w:p>
        </w:tc>
        <w:tc>
          <w:tcPr>
            <w:tcW w:w="2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30.00% – 85.00%</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1.58% – 1.60%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Probability Weighted Expected Return Method Inputs for Preferred Shares and Convertible Notes Liabilities under IFRS 9 at December 31, 2019:</w:t>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Range of Values</w:t>
            </w:r>
          </w:p>
        </w:tc>
        <w:tc>
          <w:tcPr>
            <w:tcW w:w="0" w:type="dxa"/>
            <w:vAlign w:val="bottom"/>
          </w:tcPr>
          <w:p>
            <w:pPr>
              <w:spacing w:after="0"/>
              <w:rPr>
                <w:sz w:val="1"/>
                <w:szCs w:val="1"/>
                <w:color w:val="auto"/>
              </w:rPr>
            </w:pPr>
          </w:p>
        </w:tc>
      </w:tr>
      <w:tr>
        <w:trPr>
          <w:trHeight w:val="123"/>
        </w:trPr>
        <w:tc>
          <w:tcPr>
            <w:tcW w:w="1100" w:type="dxa"/>
            <w:vAlign w:val="bottom"/>
            <w:vMerge w:val="restart"/>
          </w:tcPr>
          <w:p>
            <w:pPr>
              <w:spacing w:after="0"/>
              <w:rPr>
                <w:sz w:val="20"/>
                <w:szCs w:val="20"/>
                <w:color w:val="auto"/>
              </w:rPr>
            </w:pPr>
            <w:r>
              <w:rPr>
                <w:rFonts w:ascii="Arial" w:cs="Arial" w:eastAsia="Arial" w:hAnsi="Arial"/>
                <w:sz w:val="14"/>
                <w:szCs w:val="14"/>
                <w:color w:val="auto"/>
                <w:w w:val="90"/>
              </w:rPr>
              <w:t>Measurement Date</w:t>
            </w:r>
          </w:p>
        </w:tc>
        <w:tc>
          <w:tcPr>
            <w:tcW w:w="342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140"/>
              <w:spacing w:after="0" w:line="123" w:lineRule="exact"/>
              <w:rPr>
                <w:sz w:val="20"/>
                <w:szCs w:val="20"/>
                <w:color w:val="auto"/>
              </w:rPr>
            </w:pPr>
            <w:r>
              <w:rPr>
                <w:rFonts w:ascii="Arial" w:cs="Arial" w:eastAsia="Arial" w:hAnsi="Arial"/>
                <w:sz w:val="14"/>
                <w:szCs w:val="14"/>
                <w:color w:val="auto"/>
                <w:w w:val="93"/>
              </w:rPr>
              <w:t>Time to Anticipated</w:t>
            </w:r>
          </w:p>
        </w:tc>
        <w:tc>
          <w:tcPr>
            <w:tcW w:w="9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Probability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00" w:type="dxa"/>
            <w:vAlign w:val="bottom"/>
            <w:tcBorders>
              <w:bottom w:val="single" w:sz="8" w:color="auto"/>
            </w:tcBorders>
            <w:vMerge w:val="continue"/>
          </w:tcPr>
          <w:p>
            <w:pPr>
              <w:spacing w:after="0"/>
              <w:rPr>
                <w:sz w:val="15"/>
                <w:szCs w:val="15"/>
                <w:color w:val="auto"/>
              </w:rPr>
            </w:pPr>
          </w:p>
        </w:tc>
        <w:tc>
          <w:tcPr>
            <w:tcW w:w="3420" w:type="dxa"/>
            <w:vAlign w:val="bottom"/>
          </w:tcPr>
          <w:p>
            <w:pPr>
              <w:spacing w:after="0"/>
              <w:rPr>
                <w:sz w:val="15"/>
                <w:szCs w:val="15"/>
                <w:color w:val="auto"/>
              </w:rPr>
            </w:pPr>
          </w:p>
        </w:tc>
        <w:tc>
          <w:tcPr>
            <w:tcW w:w="12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Exit Event</w:t>
            </w:r>
          </w:p>
        </w:tc>
        <w:tc>
          <w:tcPr>
            <w:tcW w:w="900" w:type="dxa"/>
            <w:vAlign w:val="bottom"/>
          </w:tcPr>
          <w:p>
            <w:pPr>
              <w:spacing w:after="0"/>
              <w:rPr>
                <w:sz w:val="15"/>
                <w:szCs w:val="15"/>
                <w:color w:val="auto"/>
              </w:rPr>
            </w:pPr>
          </w:p>
        </w:tc>
        <w:tc>
          <w:tcPr>
            <w:tcW w:w="166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8"/>
              </w:rPr>
              <w:t>IPO/M&amp;A/Dissolution Sale</w:t>
            </w:r>
          </w:p>
        </w:tc>
        <w:tc>
          <w:tcPr>
            <w:tcW w:w="0" w:type="dxa"/>
            <w:vAlign w:val="bottom"/>
          </w:tcPr>
          <w:p>
            <w:pPr>
              <w:spacing w:after="0"/>
              <w:rPr>
                <w:sz w:val="1"/>
                <w:szCs w:val="1"/>
                <w:color w:val="auto"/>
              </w:rPr>
            </w:pPr>
          </w:p>
        </w:tc>
      </w:tr>
      <w:tr>
        <w:trPr>
          <w:trHeight w:val="189"/>
        </w:trPr>
        <w:tc>
          <w:tcPr>
            <w:tcW w:w="11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12/31/2017</w:t>
            </w:r>
          </w:p>
        </w:tc>
        <w:tc>
          <w:tcPr>
            <w:tcW w:w="34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0.37 –</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 years</w:t>
            </w:r>
          </w:p>
        </w:tc>
        <w:tc>
          <w:tcPr>
            <w:tcW w:w="2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50.0%/50.0%/0.0%</w:t>
            </w:r>
          </w:p>
        </w:tc>
        <w:tc>
          <w:tcPr>
            <w:tcW w:w="0" w:type="dxa"/>
            <w:vAlign w:val="bottom"/>
          </w:tcPr>
          <w:p>
            <w:pPr>
              <w:spacing w:after="0"/>
              <w:rPr>
                <w:sz w:val="1"/>
                <w:szCs w:val="1"/>
                <w:color w:val="auto"/>
              </w:rPr>
            </w:pP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12/31/2018</w:t>
            </w:r>
          </w:p>
        </w:tc>
        <w:tc>
          <w:tcPr>
            <w:tcW w:w="3420" w:type="dxa"/>
            <w:vAlign w:val="bottom"/>
          </w:tcPr>
          <w:p>
            <w:pPr>
              <w:spacing w:after="0"/>
              <w:rPr>
                <w:sz w:val="17"/>
                <w:szCs w:val="17"/>
                <w:color w:val="auto"/>
              </w:rPr>
            </w:pP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0.75 – 1.00</w:t>
            </w: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years</w:t>
            </w:r>
          </w:p>
        </w:tc>
        <w:tc>
          <w:tcPr>
            <w:tcW w:w="2560" w:type="dxa"/>
            <w:vAlign w:val="bottom"/>
            <w:gridSpan w:val="3"/>
          </w:tcPr>
          <w:p>
            <w:pPr>
              <w:jc w:val="right"/>
              <w:ind w:right="40"/>
              <w:spacing w:after="0"/>
              <w:rPr>
                <w:sz w:val="20"/>
                <w:szCs w:val="20"/>
                <w:color w:val="auto"/>
              </w:rPr>
            </w:pPr>
            <w:r>
              <w:rPr>
                <w:rFonts w:ascii="Arial" w:cs="Arial" w:eastAsia="Arial" w:hAnsi="Arial"/>
                <w:sz w:val="18"/>
                <w:szCs w:val="18"/>
                <w:color w:val="auto"/>
              </w:rPr>
              <w:t>50.0%/50.0%/0.0%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12/31/2019</w:t>
            </w:r>
          </w:p>
        </w:tc>
        <w:tc>
          <w:tcPr>
            <w:tcW w:w="3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4700" w:type="dxa"/>
            <w:vAlign w:val="bottom"/>
            <w:gridSpan w:val="3"/>
          </w:tcPr>
          <w:p>
            <w:pPr>
              <w:jc w:val="right"/>
              <w:ind w:right="1440"/>
              <w:spacing w:after="0"/>
              <w:rPr>
                <w:sz w:val="20"/>
                <w:szCs w:val="20"/>
                <w:color w:val="auto"/>
              </w:rPr>
            </w:pPr>
            <w:r>
              <w:rPr>
                <w:rFonts w:ascii="Arial" w:cs="Arial" w:eastAsia="Arial" w:hAnsi="Arial"/>
                <w:sz w:val="18"/>
                <w:szCs w:val="18"/>
                <w:color w:val="auto"/>
              </w:rPr>
              <w:t>F-54</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Quantitative information about the significant unobservable inputs used in the fair value measurement of the Group’s convertible note liabilities designated as Level 3 for the year ended December 31, 2018 is as follows: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6380" w:type="dxa"/>
            <w:vAlign w:val="bottom"/>
            <w:gridSpan w:val="2"/>
            <w:vMerge w:val="restart"/>
          </w:tcPr>
          <w:p>
            <w:pPr>
              <w:spacing w:after="0"/>
              <w:rPr>
                <w:sz w:val="20"/>
                <w:szCs w:val="20"/>
                <w:color w:val="auto"/>
              </w:rPr>
            </w:pPr>
            <w:r>
              <w:rPr>
                <w:rFonts w:ascii="Arial" w:cs="Arial" w:eastAsia="Arial" w:hAnsi="Arial"/>
                <w:sz w:val="14"/>
                <w:szCs w:val="14"/>
                <w:color w:val="auto"/>
              </w:rPr>
              <w:t>Significant Unobservable Inputs</w:t>
            </w:r>
          </w:p>
        </w:tc>
        <w:tc>
          <w:tcPr>
            <w:tcW w:w="10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w w:val="94"/>
              </w:rPr>
              <w:t>Range of Values</w:t>
            </w: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380" w:type="dxa"/>
            <w:vAlign w:val="bottom"/>
            <w:gridSpan w:val="2"/>
            <w:vMerge w:val="continue"/>
          </w:tcPr>
          <w:p>
            <w:pPr>
              <w:spacing w:after="0"/>
              <w:rPr>
                <w:sz w:val="11"/>
                <w:szCs w:val="11"/>
                <w:color w:val="auto"/>
              </w:rPr>
            </w:pPr>
          </w:p>
        </w:tc>
        <w:tc>
          <w:tcPr>
            <w:tcW w:w="2360" w:type="dxa"/>
            <w:vAlign w:val="bottom"/>
            <w:gridSpan w:val="4"/>
          </w:tcPr>
          <w:p>
            <w:pPr>
              <w:ind w:left="540"/>
              <w:spacing w:after="0" w:line="129" w:lineRule="exact"/>
              <w:rPr>
                <w:sz w:val="20"/>
                <w:szCs w:val="20"/>
                <w:color w:val="auto"/>
              </w:rPr>
            </w:pPr>
            <w:r>
              <w:rPr>
                <w:rFonts w:ascii="Arial" w:cs="Arial" w:eastAsia="Arial" w:hAnsi="Arial"/>
                <w:sz w:val="14"/>
                <w:szCs w:val="14"/>
                <w:color w:val="auto"/>
              </w:rPr>
              <w:t>At Issuance</w:t>
            </w:r>
          </w:p>
        </w:tc>
        <w:tc>
          <w:tcPr>
            <w:tcW w:w="1300" w:type="dxa"/>
            <w:vAlign w:val="bottom"/>
          </w:tcPr>
          <w:p>
            <w:pPr>
              <w:jc w:val="right"/>
              <w:ind w:right="595"/>
              <w:spacing w:after="0" w:line="129" w:lineRule="exact"/>
              <w:rPr>
                <w:sz w:val="20"/>
                <w:szCs w:val="20"/>
                <w:color w:val="auto"/>
              </w:rPr>
            </w:pPr>
            <w:r>
              <w:rPr>
                <w:rFonts w:ascii="Arial" w:cs="Arial" w:eastAsia="Arial" w:hAnsi="Arial"/>
                <w:sz w:val="14"/>
                <w:szCs w:val="14"/>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Time to next qualified equity financing</w:t>
            </w:r>
          </w:p>
        </w:tc>
        <w:tc>
          <w:tcPr>
            <w:tcW w:w="1740" w:type="dxa"/>
            <w:vAlign w:val="bottom"/>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w w:val="86"/>
              </w:rPr>
              <w:t>1.00 – 2.03 years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0.33 – 1.50 years</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Implied discount rate</w:t>
            </w:r>
          </w:p>
        </w:tc>
        <w:tc>
          <w:tcPr>
            <w:tcW w:w="1040" w:type="dxa"/>
            <w:vAlign w:val="bottom"/>
          </w:tcPr>
          <w:p>
            <w:pPr>
              <w:jc w:val="right"/>
              <w:spacing w:after="0"/>
              <w:rPr>
                <w:sz w:val="20"/>
                <w:szCs w:val="20"/>
                <w:color w:val="auto"/>
              </w:rPr>
            </w:pPr>
            <w:r>
              <w:rPr>
                <w:rFonts w:ascii="Arial" w:cs="Arial" w:eastAsia="Arial" w:hAnsi="Arial"/>
                <w:sz w:val="18"/>
                <w:szCs w:val="18"/>
                <w:color w:val="auto"/>
              </w:rPr>
              <w:t>11.3% –</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2,459.0%</w:t>
            </w: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10.8% – 44.9%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a qualified financing or change of control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 100.0%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95.0% – 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Valuation policies and procedures are regularly monitored by the Company’s finance group. Fair value measurements, including those categorized within Level 3, are prepared and reviewed on their issuance date and then on an annual basis and any third-party valuations are reviewed for reasonableness and compliance with the fair value measurements guidance under IFRS.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Preferred Shares Sensitivity</w:t>
      </w:r>
    </w:p>
    <w:p>
      <w:pPr>
        <w:spacing w:after="0" w:line="12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following summarizes the sensitivity from the assumptions made by the Company in respect to the unobservable inputs used in the fair value measurement of the Group’s preferred share liabilities, which do not qualify for bifurcation and are recorded at fair value (Please refer to Note 15).</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40" w:type="dxa"/>
            <w:vAlign w:val="bottom"/>
          </w:tcPr>
          <w:p>
            <w:pPr>
              <w:spacing w:after="0"/>
              <w:rPr>
                <w:sz w:val="20"/>
                <w:szCs w:val="20"/>
                <w:color w:val="auto"/>
              </w:rPr>
            </w:pPr>
            <w:r>
              <w:rPr>
                <w:rFonts w:ascii="Arial" w:cs="Arial" w:eastAsia="Arial" w:hAnsi="Arial"/>
                <w:sz w:val="14"/>
                <w:szCs w:val="14"/>
                <w:color w:val="auto"/>
              </w:rPr>
              <w:t>Input</w:t>
            </w:r>
          </w:p>
        </w:tc>
        <w:tc>
          <w:tcPr>
            <w:tcW w:w="3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Subsidiary Preferred Share Liability</w:t>
            </w: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Financial Liability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08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w w:val="97"/>
              </w:rPr>
              <w:t>Sensitivity Range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Increase/ (Decrease)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20"/>
                <w:szCs w:val="20"/>
                <w:color w:val="auto"/>
              </w:rPr>
            </w:pPr>
            <w:r>
              <w:rPr>
                <w:rFonts w:ascii="Arial" w:cs="Arial" w:eastAsia="Arial" w:hAnsi="Arial"/>
                <w:sz w:val="14"/>
                <w:szCs w:val="14"/>
                <w:color w:val="auto"/>
              </w:rPr>
              <w:t>As of December 31,</w:t>
            </w:r>
          </w:p>
        </w:tc>
        <w:tc>
          <w:tcPr>
            <w:tcW w:w="2080" w:type="dxa"/>
            <w:vAlign w:val="bottom"/>
            <w:gridSpan w:val="2"/>
            <w:vMerge w:val="continue"/>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$000s</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tcBorders>
              <w:top w:val="single" w:sz="8" w:color="CCEEFF"/>
              <w:left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 Months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+6 Months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Rate¹</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-0.08%/-0.03%</w:t>
            </w:r>
          </w:p>
        </w:tc>
        <w:tc>
          <w:tcPr>
            <w:tcW w:w="8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5"/>
              </w:rPr>
              <w:t>+0.02%/+0.05%</w:t>
            </w:r>
          </w:p>
        </w:tc>
        <w:tc>
          <w:tcPr>
            <w:tcW w:w="8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IPO/M&amp;A Event Probability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(1,162)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5"/>
          <w:szCs w:val="15"/>
          <w:color w:val="auto"/>
        </w:rPr>
      </w:pPr>
      <w:r>
        <w:rPr>
          <w:rFonts w:ascii="Arial" w:cs="Arial" w:eastAsia="Arial" w:hAnsi="Arial"/>
          <w:sz w:val="18"/>
          <w:szCs w:val="18"/>
          <w:color w:val="auto"/>
        </w:rPr>
        <w:t>Risk-free rate is a function of the time to liquidity input assumption.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change in fair value of preferred shares are recorded in Finance cost, net in the Consolidated Statements of Comprehensive Income/(Loss).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Assets Held at Fair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resTORbio Valuation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ResTORbio (NASDAQ: TORC) is a listed entity on an active exchange and as such the fair value as of December 31, 2019 was calculated utilizing the quoted common share price. Please refer to Note 5 for further details.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Karuna Valuation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Karuna (NASDAQ: KRTX) is a listed entity on an active exchange and as such the fair value as of December 31, 2019 was calculated utilizing the quoted common share price. Please refer to Note 5 for further details.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00"/>
          </w:cols>
          <w:pgMar w:left="320" w:top="459" w:right="5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Akili, Gelesis and Vor Valuation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accordance with IFRS 9, the Company accounts for its preferred share investments in Akili, Gelesis and Vor as financial assets held at fair value through the profit and loss. During the year ended December 31, 2019, the Company recorded its investment at fair value and recognized a gain of $48.8 million that was recorded to the Consolidated Statements of Comprehensive Income/(Loss) on the line item Gain/(loss) on investments held at fair value.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changes in the Group’s investments held at fair value using significant unobservable inputs (Level 3):</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Akili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Gain/ (Loss) on changes in fair value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Issuance of note receivable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Balance at December 31, 2018 and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-104775</wp:posOffset>
            </wp:positionV>
            <wp:extent cx="474916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Karuna</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Deconsolidation of Gelesis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Reclass of Karuna to Associate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Gain/(Loss) on 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Issuance of note receivable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Conversion of note receivable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$‘000s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1,449</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70,748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12,966</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5715</wp:posOffset>
            </wp:positionV>
            <wp:extent cx="4972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85,163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17145</wp:posOffset>
            </wp:positionV>
            <wp:extent cx="4972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12,028</w:t>
      </w:r>
    </w:p>
    <w:p>
      <w:pPr>
        <w:spacing w:after="0" w:line="2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77,373</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49,170</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(118,006)</w:t>
      </w:r>
    </w:p>
    <w:p>
      <w:pPr>
        <w:spacing w:after="0" w:line="32"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48,867</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6,480</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(6,630)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5715</wp:posOffset>
            </wp:positionV>
            <wp:extent cx="4972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b w:val="1"/>
          <w:bCs w:val="1"/>
          <w:color w:val="auto"/>
        </w:rPr>
        <w:t>154,445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24765</wp:posOffset>
            </wp:positionV>
            <wp:extent cx="4972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880" w:space="720"/>
            <w:col w:w="2520"/>
          </w:cols>
          <w:pgMar w:left="320" w:top="459" w:right="459" w:bottom="1440" w:gutter="0" w:footer="0" w:header="0"/>
          <w:type w:val="continuous"/>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Option Pricing Model and Probability Weighted Expected Return Method Inputs for Investments Held at Fair Value at December 31, 2019 and 2018:</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color w:val="auto"/>
                <w:w w:val="90"/>
              </w:rPr>
              <w:t>Range of Values</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2"/>
              </w:rPr>
              <w:t>PWERM (IPO Scenario) Measurement Date</w:t>
            </w: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0" w:type="dxa"/>
            <w:vAlign w:val="bottom"/>
            <w:gridSpan w:val="6"/>
          </w:tcPr>
          <w:p>
            <w:pPr>
              <w:jc w:val="center"/>
              <w:ind w:right="460"/>
              <w:spacing w:after="0" w:line="123" w:lineRule="exact"/>
              <w:rPr>
                <w:sz w:val="20"/>
                <w:szCs w:val="20"/>
                <w:color w:val="auto"/>
              </w:rPr>
            </w:pPr>
            <w:r>
              <w:rPr>
                <w:rFonts w:ascii="Arial" w:cs="Arial" w:eastAsia="Arial" w:hAnsi="Arial"/>
                <w:sz w:val="14"/>
                <w:szCs w:val="14"/>
                <w:color w:val="auto"/>
                <w:w w:val="95"/>
              </w:rPr>
              <w:t>Time to Anticipated</w:t>
            </w:r>
          </w:p>
        </w:tc>
        <w:tc>
          <w:tcPr>
            <w:tcW w:w="980" w:type="dxa"/>
            <w:vAlign w:val="bottom"/>
            <w:gridSpan w:val="3"/>
          </w:tcPr>
          <w:p>
            <w:pPr>
              <w:jc w:val="center"/>
              <w:ind w:left="219"/>
              <w:spacing w:after="0" w:line="123" w:lineRule="exact"/>
              <w:rPr>
                <w:sz w:val="20"/>
                <w:szCs w:val="20"/>
                <w:color w:val="auto"/>
              </w:rPr>
            </w:pPr>
            <w:r>
              <w:rPr>
                <w:rFonts w:ascii="Arial" w:cs="Arial" w:eastAsia="Arial" w:hAnsi="Arial"/>
                <w:sz w:val="14"/>
                <w:szCs w:val="14"/>
                <w:color w:val="auto"/>
                <w:w w:val="97"/>
              </w:rPr>
              <w:t>Probability</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2560" w:type="dxa"/>
            <w:vAlign w:val="bottom"/>
            <w:tcBorders>
              <w:bottom w:val="single" w:sz="8" w:color="auto"/>
            </w:tcBorders>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0" w:type="dxa"/>
            <w:vAlign w:val="bottom"/>
            <w:gridSpan w:val="6"/>
          </w:tcPr>
          <w:p>
            <w:pPr>
              <w:jc w:val="center"/>
              <w:ind w:right="460"/>
              <w:spacing w:after="0" w:line="154" w:lineRule="exact"/>
              <w:rPr>
                <w:sz w:val="20"/>
                <w:szCs w:val="20"/>
                <w:color w:val="auto"/>
              </w:rPr>
            </w:pPr>
            <w:r>
              <w:rPr>
                <w:rFonts w:ascii="Arial" w:cs="Arial" w:eastAsia="Arial" w:hAnsi="Arial"/>
                <w:sz w:val="14"/>
                <w:szCs w:val="14"/>
                <w:color w:val="auto"/>
                <w:w w:val="98"/>
              </w:rPr>
              <w:t>Exit Event</w:t>
            </w:r>
          </w:p>
        </w:tc>
        <w:tc>
          <w:tcPr>
            <w:tcW w:w="980" w:type="dxa"/>
            <w:vAlign w:val="bottom"/>
            <w:gridSpan w:val="3"/>
          </w:tcPr>
          <w:p>
            <w:pPr>
              <w:jc w:val="center"/>
              <w:ind w:left="239"/>
              <w:spacing w:after="0" w:line="154" w:lineRule="exact"/>
              <w:rPr>
                <w:sz w:val="20"/>
                <w:szCs w:val="20"/>
                <w:color w:val="auto"/>
              </w:rPr>
            </w:pPr>
            <w:r>
              <w:rPr>
                <w:rFonts w:ascii="Arial" w:cs="Arial" w:eastAsia="Arial" w:hAnsi="Arial"/>
                <w:sz w:val="14"/>
                <w:szCs w:val="14"/>
                <w:color w:val="auto"/>
                <w:w w:val="95"/>
              </w:rPr>
              <w:t>of IPO</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12/31/2018</w:t>
            </w:r>
          </w:p>
        </w:tc>
        <w:tc>
          <w:tcPr>
            <w:tcW w:w="4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0.50 years</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50.0%</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12/31/2019</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8"/>
                <w:szCs w:val="18"/>
                <w:color w:val="auto"/>
              </w:rPr>
              <w:t>1.1 — 3.0 years</w:t>
            </w:r>
          </w:p>
        </w:tc>
        <w:tc>
          <w:tcPr>
            <w:tcW w:w="1520" w:type="dxa"/>
            <w:vAlign w:val="bottom"/>
            <w:gridSpan w:val="5"/>
          </w:tcPr>
          <w:p>
            <w:pPr>
              <w:jc w:val="right"/>
              <w:ind w:right="80"/>
              <w:spacing w:after="0"/>
              <w:rPr>
                <w:sz w:val="20"/>
                <w:szCs w:val="20"/>
                <w:color w:val="auto"/>
              </w:rPr>
            </w:pPr>
            <w:r>
              <w:rPr>
                <w:rFonts w:ascii="Arial" w:cs="Arial" w:eastAsia="Arial" w:hAnsi="Arial"/>
                <w:sz w:val="18"/>
                <w:szCs w:val="18"/>
                <w:color w:val="auto"/>
              </w:rPr>
              <w:t>55.0% — 75.0%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40" w:type="dxa"/>
            <w:vAlign w:val="bottom"/>
            <w:gridSpan w:val="3"/>
            <w:vMerge w:val="restart"/>
          </w:tcPr>
          <w:p>
            <w:pPr>
              <w:spacing w:after="0"/>
              <w:rPr>
                <w:sz w:val="20"/>
                <w:szCs w:val="20"/>
                <w:color w:val="auto"/>
              </w:rPr>
            </w:pPr>
            <w:r>
              <w:rPr>
                <w:rFonts w:ascii="Arial" w:cs="Arial" w:eastAsia="Arial" w:hAnsi="Arial"/>
                <w:sz w:val="14"/>
                <w:szCs w:val="14"/>
                <w:color w:val="auto"/>
              </w:rPr>
              <w:t>OPM (Long-term Exit Scenario) Measurement Date</w:t>
            </w: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color w:val="auto"/>
              </w:rPr>
              <w:t>Range of Values</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1480" w:type="dxa"/>
            <w:vAlign w:val="bottom"/>
            <w:gridSpan w:val="3"/>
          </w:tcPr>
          <w:p>
            <w:pPr>
              <w:ind w:left="260"/>
              <w:spacing w:after="0" w:line="129" w:lineRule="exact"/>
              <w:rPr>
                <w:sz w:val="20"/>
                <w:szCs w:val="20"/>
                <w:color w:val="auto"/>
              </w:rPr>
            </w:pPr>
            <w:r>
              <w:rPr>
                <w:rFonts w:ascii="Arial" w:cs="Arial" w:eastAsia="Arial" w:hAnsi="Arial"/>
                <w:sz w:val="14"/>
                <w:szCs w:val="14"/>
                <w:color w:val="auto"/>
              </w:rPr>
              <w:t>Expiration Date</w:t>
            </w:r>
          </w:p>
        </w:tc>
        <w:tc>
          <w:tcPr>
            <w:tcW w:w="200" w:type="dxa"/>
            <w:vAlign w:val="bottom"/>
          </w:tcPr>
          <w:p>
            <w:pPr>
              <w:spacing w:after="0"/>
              <w:rPr>
                <w:sz w:val="12"/>
                <w:szCs w:val="12"/>
                <w:color w:val="auto"/>
              </w:rPr>
            </w:pPr>
          </w:p>
        </w:tc>
        <w:tc>
          <w:tcPr>
            <w:tcW w:w="1080" w:type="dxa"/>
            <w:vAlign w:val="bottom"/>
            <w:gridSpan w:val="3"/>
          </w:tcPr>
          <w:p>
            <w:pPr>
              <w:jc w:val="center"/>
              <w:ind w:left="424"/>
              <w:spacing w:after="0" w:line="129" w:lineRule="exact"/>
              <w:rPr>
                <w:sz w:val="20"/>
                <w:szCs w:val="20"/>
                <w:color w:val="auto"/>
              </w:rPr>
            </w:pPr>
            <w:r>
              <w:rPr>
                <w:rFonts w:ascii="Arial" w:cs="Arial" w:eastAsia="Arial" w:hAnsi="Arial"/>
                <w:sz w:val="14"/>
                <w:szCs w:val="14"/>
                <w:color w:val="auto"/>
              </w:rPr>
              <w:t>Volatility</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right"/>
              <w:ind w:right="340"/>
              <w:spacing w:after="0" w:line="129" w:lineRule="exact"/>
              <w:rPr>
                <w:sz w:val="20"/>
                <w:szCs w:val="20"/>
                <w:color w:val="auto"/>
              </w:rPr>
            </w:pPr>
            <w:r>
              <w:rPr>
                <w:rFonts w:ascii="Arial" w:cs="Arial" w:eastAsia="Arial" w:hAnsi="Arial"/>
                <w:sz w:val="14"/>
                <w:szCs w:val="14"/>
                <w:color w:val="auto"/>
              </w:rPr>
              <w:t>Risk Free Rate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12/31/2018</w:t>
            </w:r>
          </w:p>
        </w:tc>
        <w:tc>
          <w:tcPr>
            <w:tcW w:w="2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w w:val="85"/>
              </w:rPr>
              <w:t>1.25 years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75.0%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12/31/2019</w:t>
            </w:r>
          </w:p>
        </w:tc>
        <w:tc>
          <w:tcPr>
            <w:tcW w:w="2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gridSpan w:val="3"/>
          </w:tcPr>
          <w:p>
            <w:pPr>
              <w:ind w:left="320"/>
              <w:spacing w:after="0"/>
              <w:rPr>
                <w:sz w:val="20"/>
                <w:szCs w:val="20"/>
                <w:color w:val="auto"/>
              </w:rPr>
            </w:pPr>
            <w:r>
              <w:rPr>
                <w:rFonts w:ascii="Arial" w:cs="Arial" w:eastAsia="Arial" w:hAnsi="Arial"/>
                <w:sz w:val="18"/>
                <w:szCs w:val="18"/>
                <w:color w:val="auto"/>
                <w:w w:val="93"/>
              </w:rPr>
              <w:t>1.13 — 3 years</w:t>
            </w:r>
          </w:p>
        </w:tc>
        <w:tc>
          <w:tcPr>
            <w:tcW w:w="200" w:type="dxa"/>
            <w:vAlign w:val="bottom"/>
          </w:tcPr>
          <w:p>
            <w:pPr>
              <w:spacing w:after="0"/>
              <w:rPr>
                <w:sz w:val="20"/>
                <w:szCs w:val="20"/>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8"/>
                <w:szCs w:val="18"/>
                <w:color w:val="auto"/>
              </w:rPr>
              <w:t>56.0% — 80.0%</w:t>
            </w: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1.59% — 1.62%</w:t>
            </w:r>
          </w:p>
        </w:tc>
        <w:tc>
          <w:tcPr>
            <w:tcW w:w="0" w:type="dxa"/>
            <w:vAlign w:val="bottom"/>
          </w:tcPr>
          <w:p>
            <w:pPr>
              <w:spacing w:after="0"/>
              <w:rPr>
                <w:sz w:val="1"/>
                <w:szCs w:val="1"/>
                <w:color w:val="auto"/>
              </w:rPr>
            </w:pPr>
          </w:p>
        </w:tc>
      </w:tr>
      <w:tr>
        <w:trPr>
          <w:trHeight w:val="350"/>
        </w:trPr>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gridSpan w:val="4"/>
          </w:tcPr>
          <w:p>
            <w:pPr>
              <w:ind w:left="1460"/>
              <w:spacing w:after="0"/>
              <w:rPr>
                <w:sz w:val="20"/>
                <w:szCs w:val="20"/>
                <w:color w:val="auto"/>
              </w:rPr>
            </w:pPr>
            <w:r>
              <w:rPr>
                <w:rFonts w:ascii="Arial" w:cs="Arial" w:eastAsia="Arial" w:hAnsi="Arial"/>
                <w:sz w:val="18"/>
                <w:szCs w:val="18"/>
                <w:color w:val="auto"/>
              </w:rPr>
              <w:t>F-56</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type w:val="continuous"/>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summarizes the sensitivity from the assumptions made by the Company in respect to the unobservable inputs used in the fair value measurement of the Group’s investments held at fair value (please refer to Note 5):</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40" w:type="dxa"/>
            <w:vAlign w:val="bottom"/>
            <w:gridSpan w:val="2"/>
          </w:tcPr>
          <w:p>
            <w:pPr>
              <w:spacing w:after="0"/>
              <w:rPr>
                <w:sz w:val="20"/>
                <w:szCs w:val="20"/>
                <w:color w:val="auto"/>
              </w:rPr>
            </w:pPr>
            <w:r>
              <w:rPr>
                <w:rFonts w:ascii="Arial" w:cs="Arial" w:eastAsia="Arial" w:hAnsi="Arial"/>
                <w:sz w:val="14"/>
                <w:szCs w:val="14"/>
                <w:color w:val="auto"/>
              </w:rPr>
              <w:t>Input</w:t>
            </w:r>
          </w:p>
        </w:tc>
        <w:tc>
          <w:tcPr>
            <w:tcW w:w="3320" w:type="dxa"/>
            <w:vAlign w:val="bottom"/>
            <w:gridSpan w:val="5"/>
          </w:tcPr>
          <w:p>
            <w:pPr>
              <w:ind w:left="680"/>
              <w:spacing w:after="0"/>
              <w:rPr>
                <w:sz w:val="20"/>
                <w:szCs w:val="20"/>
                <w:color w:val="auto"/>
              </w:rPr>
            </w:pPr>
            <w:r>
              <w:rPr>
                <w:rFonts w:ascii="Arial" w:cs="Arial" w:eastAsia="Arial" w:hAnsi="Arial"/>
                <w:sz w:val="14"/>
                <w:szCs w:val="14"/>
                <w:b w:val="1"/>
                <w:bCs w:val="1"/>
                <w:color w:val="auto"/>
              </w:rPr>
              <w:t>Investments Held at Fair Value</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Financial Asset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3880" w:type="dxa"/>
            <w:vAlign w:val="bottom"/>
            <w:vMerge w:val="restart"/>
          </w:tcPr>
          <w:p>
            <w:pPr>
              <w:spacing w:after="0"/>
              <w:rPr>
                <w:sz w:val="12"/>
                <w:szCs w:val="12"/>
                <w:color w:val="auto"/>
              </w:rPr>
            </w:pPr>
          </w:p>
        </w:tc>
        <w:tc>
          <w:tcPr>
            <w:tcW w:w="2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Sensitivity Range</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Increase/ (Decrease)</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2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(2,947)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20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 Months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20,699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40" w:type="dxa"/>
            <w:vAlign w:val="bottom"/>
            <w:gridSpan w:val="3"/>
          </w:tcPr>
          <w:p>
            <w:pPr>
              <w:jc w:val="right"/>
              <w:ind w:right="780"/>
              <w:spacing w:after="0"/>
              <w:rPr>
                <w:sz w:val="20"/>
                <w:szCs w:val="20"/>
                <w:color w:val="auto"/>
              </w:rPr>
            </w:pPr>
            <w:r>
              <w:rPr>
                <w:rFonts w:ascii="Arial" w:cs="Arial" w:eastAsia="Arial" w:hAnsi="Arial"/>
                <w:sz w:val="18"/>
                <w:szCs w:val="18"/>
                <w:color w:val="auto"/>
              </w:rPr>
              <w:t>+6 Months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(17,711)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Rate¹</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-0.08%/-0.02%</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20,699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+0.10%/+0.16%</w:t>
            </w:r>
          </w:p>
        </w:tc>
        <w:tc>
          <w:tcPr>
            <w:tcW w:w="7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5"/>
          <w:szCs w:val="15"/>
          <w:color w:val="auto"/>
        </w:rPr>
      </w:pPr>
      <w:r>
        <w:rPr>
          <w:rFonts w:ascii="Arial" w:cs="Arial" w:eastAsia="Arial" w:hAnsi="Arial"/>
          <w:sz w:val="18"/>
          <w:szCs w:val="18"/>
          <w:color w:val="auto"/>
        </w:rPr>
        <w:t>Risk-free rate is a function of the time to liquidity input assumption.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Warrants issued by the Group are classified as liabilities, as they will be settled in a variable number of shares and are not fixed-for-fixed. The following table summarizes the changes in the Group’s subsidiary warrant liabilities measured at fair value using significant unobservable inputs (Level 3):</w:t>
      </w:r>
    </w:p>
    <w:p>
      <w:pPr>
        <w:spacing w:after="0" w:line="13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Subsidiary</w:t>
            </w:r>
          </w:p>
        </w:tc>
      </w:tr>
      <w:tr>
        <w:trPr>
          <w:trHeight w:val="148"/>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Warrant Liability</w:t>
            </w:r>
          </w:p>
        </w:tc>
      </w:tr>
      <w:tr>
        <w:trPr>
          <w:trHeight w:val="167"/>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$000s</w:t>
            </w: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Change in fair value</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Warrant Issuance</w:t>
            </w:r>
          </w:p>
        </w:tc>
        <w:tc>
          <w:tcPr>
            <w:tcW w:w="1000" w:type="dxa"/>
            <w:vAlign w:val="bottom"/>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Gelesis Deconsolidation</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(21,611)</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Change in fair value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7,997</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In June 2019, Gelesis amended their existing license and patent agreement with One S.r.l. As a result of the amendment Gelesis issued One S.r.l. a warrant equal to 2.7 percent of as converted shares following the next financing round. The fair value of the warrant was $4.7 million at issuance. On July 1, 2019, Gelesis deconsolidated and warrant liability of $21.6 million relating to Series A-1, A-3, A-4 and One S.r.l. warrants was derecognized.</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connection with various amendments to its 2010 Loan and Security Agreement, Follica issued Series A-1 preferred share warrants at various dates in 2013 and 2014. Each of the warrants has an exercise price of $0.1425 and a contractual term of 10 years from the date of issuance. In 2017, in conjunction with the issuance of convertible notes, the exercise price of the warrants was adjusted to $0.07 per share. The change in the fair value of the subsidiary warrants was recorded in finance costs, net in the Consolidated Statements of Comprehensive Income/(Loss). The $8.0 million warrant liability at December 31, 2019 is attributable to the outstanding Follica preferred share warrants.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80"/>
          </w:cols>
          <w:pgMar w:left="320" w:top="459" w:right="4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weighted average assumptions were utilized by the Company with respect to determining the fair value of the Follica warrants at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Assumption/Input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Series A-1</w:t>
            </w:r>
          </w:p>
        </w:tc>
        <w:tc>
          <w:tcPr>
            <w:tcW w:w="0" w:type="dxa"/>
            <w:vAlign w:val="bottom"/>
          </w:tcPr>
          <w:p>
            <w:pPr>
              <w:spacing w:after="0"/>
              <w:rPr>
                <w:sz w:val="1"/>
                <w:szCs w:val="1"/>
                <w:color w:val="auto"/>
              </w:rPr>
            </w:pPr>
          </w:p>
        </w:tc>
      </w:tr>
      <w:tr>
        <w:trPr>
          <w:trHeight w:val="178"/>
        </w:trPr>
        <w:tc>
          <w:tcPr>
            <w:tcW w:w="6660" w:type="dxa"/>
            <w:vAlign w:val="bottom"/>
            <w:gridSpan w:val="2"/>
            <w:vMerge w:val="continue"/>
          </w:tcPr>
          <w:p>
            <w:pPr>
              <w:spacing w:after="0"/>
              <w:rPr>
                <w:sz w:val="15"/>
                <w:szCs w:val="15"/>
                <w:color w:val="auto"/>
              </w:rPr>
            </w:pPr>
          </w:p>
        </w:tc>
        <w:tc>
          <w:tcPr>
            <w:tcW w:w="8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3"/>
        </w:trPr>
        <w:tc>
          <w:tcPr>
            <w:tcW w:w="1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Expected term</w:t>
            </w:r>
          </w:p>
        </w:tc>
        <w:tc>
          <w:tcPr>
            <w:tcW w:w="5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the convertible preferred shares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Exercise price of the warrants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following summarizes the sensitivity from the assumptions made by the Company in respect to the unobservable inputs used in the fair value measurement of the Group’s warrant liabilities as of December 31,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40" w:type="dxa"/>
            <w:vAlign w:val="bottom"/>
            <w:gridSpan w:val="2"/>
          </w:tcPr>
          <w:p>
            <w:pPr>
              <w:spacing w:after="0"/>
              <w:rPr>
                <w:sz w:val="20"/>
                <w:szCs w:val="20"/>
                <w:color w:val="auto"/>
              </w:rPr>
            </w:pPr>
            <w:r>
              <w:rPr>
                <w:rFonts w:ascii="Arial" w:cs="Arial" w:eastAsia="Arial" w:hAnsi="Arial"/>
                <w:sz w:val="14"/>
                <w:szCs w:val="14"/>
                <w:color w:val="auto"/>
              </w:rPr>
              <w:t>Input</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Financial Liability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3480" w:type="dxa"/>
            <w:vAlign w:val="bottom"/>
            <w:vMerge w:val="restart"/>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Sensitivity Range</w:t>
            </w:r>
          </w:p>
        </w:tc>
        <w:tc>
          <w:tcPr>
            <w:tcW w:w="114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Increase/ (Decrease)</w:t>
            </w:r>
          </w:p>
        </w:tc>
        <w:tc>
          <w:tcPr>
            <w:tcW w:w="0" w:type="dxa"/>
            <w:vAlign w:val="bottom"/>
          </w:tcPr>
          <w:p>
            <w:pPr>
              <w:spacing w:after="0"/>
              <w:rPr>
                <w:sz w:val="1"/>
                <w:szCs w:val="1"/>
                <w:color w:val="auto"/>
              </w:rPr>
            </w:pPr>
          </w:p>
        </w:tc>
      </w:tr>
      <w:tr>
        <w:trPr>
          <w:trHeight w:val="163"/>
        </w:trPr>
        <w:tc>
          <w:tcPr>
            <w:tcW w:w="1160" w:type="dxa"/>
            <w:vAlign w:val="bottom"/>
            <w:tcBorders>
              <w:bottom w:val="single" w:sz="8" w:color="auto"/>
            </w:tcBorders>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$000s</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14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 and Classification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financial instruments by category at December 31, 2019 and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5"/>
              <w:spacing w:after="0" w:line="142" w:lineRule="exact"/>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auto"/>
              </w:rPr>
              <w:t>Fair Value</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Financial</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Financial</w:t>
            </w:r>
          </w:p>
        </w:tc>
        <w:tc>
          <w:tcPr>
            <w:tcW w:w="16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Level 2</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$000s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$000s</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U.S. treasuries</w:t>
            </w:r>
            <w:r>
              <w:rPr>
                <w:rFonts w:ascii="Arial" w:cs="Arial" w:eastAsia="Arial" w:hAnsi="Arial"/>
                <w:sz w:val="15"/>
                <w:szCs w:val="15"/>
                <w:color w:val="auto"/>
              </w:rPr>
              <w:t>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30,088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30,088</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30,088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r>
              <w:rPr>
                <w:rFonts w:ascii="Arial" w:cs="Arial" w:eastAsia="Arial" w:hAnsi="Arial"/>
                <w:sz w:val="15"/>
                <w:szCs w:val="15"/>
                <w:color w:val="auto"/>
              </w:rPr>
              <w:t>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106,586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Investments held at fair value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714,905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560,460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154,445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714,905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r>
              <w:rPr>
                <w:rFonts w:ascii="Arial" w:cs="Arial" w:eastAsia="Arial" w:hAnsi="Arial"/>
                <w:sz w:val="15"/>
                <w:szCs w:val="15"/>
                <w:color w:val="auto"/>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853,556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697,134</w:t>
            </w: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154,445</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853,556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Subsidiary warrant liability</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7,997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7,997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Subsidiary preferred shares</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100,989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100,989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Subsidiary notes payable</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110,441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108,986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110,441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7"/>
        </w:numPr>
        <w:rPr>
          <w:rFonts w:ascii="Arial" w:cs="Arial" w:eastAsia="Arial" w:hAnsi="Arial"/>
          <w:sz w:val="15"/>
          <w:szCs w:val="15"/>
          <w:color w:val="auto"/>
        </w:rPr>
      </w:pPr>
      <w:r>
        <w:rPr>
          <w:rFonts w:ascii="Arial" w:cs="Arial" w:eastAsia="Arial" w:hAnsi="Arial"/>
          <w:sz w:val="18"/>
          <w:szCs w:val="18"/>
          <w:color w:val="auto"/>
        </w:rPr>
        <w:t>Issued by governments and government agencies, as applicable, all of which are investment grade.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17"/>
        </w:numPr>
        <w:rPr>
          <w:rFonts w:ascii="Arial" w:cs="Arial" w:eastAsia="Arial" w:hAnsi="Arial"/>
          <w:sz w:val="15"/>
          <w:szCs w:val="15"/>
          <w:color w:val="auto"/>
        </w:rPr>
      </w:pPr>
      <w:r>
        <w:rPr>
          <w:rFonts w:ascii="Arial" w:cs="Arial" w:eastAsia="Arial" w:hAnsi="Arial"/>
          <w:sz w:val="18"/>
          <w:szCs w:val="18"/>
          <w:color w:val="auto"/>
        </w:rPr>
        <w:t>Issued by a diverse group of corporations, largely consisting of financial institutions, virtually all of which are investment grade.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17"/>
        </w:numPr>
        <w:rPr>
          <w:rFonts w:ascii="Arial" w:cs="Arial" w:eastAsia="Arial" w:hAnsi="Arial"/>
          <w:sz w:val="15"/>
          <w:szCs w:val="15"/>
          <w:color w:val="auto"/>
        </w:rPr>
      </w:pPr>
      <w:r>
        <w:rPr>
          <w:rFonts w:ascii="Arial" w:cs="Arial" w:eastAsia="Arial" w:hAnsi="Arial"/>
          <w:sz w:val="18"/>
          <w:szCs w:val="18"/>
          <w:color w:val="auto"/>
        </w:rPr>
        <w:t>Outstanding receivables are owed primarily by corporations and government agencies, virtually all of which are investment grade.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5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Fair Value</w:t>
            </w: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Financial</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Financial</w:t>
            </w:r>
          </w:p>
        </w:tc>
        <w:tc>
          <w:tcPr>
            <w:tcW w:w="140" w:type="dxa"/>
            <w:vAlign w:val="bottom"/>
          </w:tcPr>
          <w:p>
            <w:pPr>
              <w:spacing w:after="0"/>
              <w:rPr>
                <w:sz w:val="10"/>
                <w:szCs w:val="10"/>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Assets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96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$000s</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$000s</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$000s</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U.S. treasuries</w:t>
            </w:r>
            <w:r>
              <w:rPr>
                <w:rFonts w:ascii="Arial" w:cs="Arial" w:eastAsia="Arial" w:hAnsi="Arial"/>
                <w:sz w:val="15"/>
                <w:szCs w:val="15"/>
                <w:color w:val="auto"/>
              </w:rPr>
              <w:t>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133,828</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133,828</w:t>
            </w: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133,828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r>
              <w:rPr>
                <w:rFonts w:ascii="Arial" w:cs="Arial" w:eastAsia="Arial" w:hAnsi="Arial"/>
                <w:sz w:val="15"/>
                <w:szCs w:val="15"/>
                <w:color w:val="auto"/>
              </w:rPr>
              <w:t>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deposits</w:t>
            </w:r>
            <w:r>
              <w:rPr>
                <w:rFonts w:ascii="Arial" w:cs="Arial" w:eastAsia="Arial" w:hAnsi="Arial"/>
                <w:sz w:val="15"/>
                <w:szCs w:val="15"/>
                <w:color w:val="auto"/>
              </w:rPr>
              <w:t>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at fair value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169,755</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84,592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169,755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Loans and receivables: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r>
              <w:rPr>
                <w:rFonts w:ascii="Arial" w:cs="Arial" w:eastAsia="Arial" w:hAnsi="Arial"/>
                <w:sz w:val="15"/>
                <w:szCs w:val="15"/>
                <w:color w:val="auto"/>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307,210</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218,420</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3,627</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85,163</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307,210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Subsidiary warrant liability</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13,012</w:t>
            </w: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13,012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Subsidiary preferred shares</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217,519</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217,519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Subsidiary notes payable</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12,010</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12,010</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242,541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12,010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230,531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242,541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Issued by governments and government agencies, as applicable, all of which are investment grade.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Issued by a diverse group of corporations, largely consisting of financial institutions, virtually all of which are investment grade.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Outstanding receivables are owed primarily by corporations and government agencies, virtually all of which are investment grade.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Subsidiary Notes Payable</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subsidiary notes payable are comprised of loans and convertible notes. During the years ended December 31, 2019 and 2018, the financial instruments for Knode and Appeering did not contain embedded derivatives and therefore these instruments continue to be held at amortised cost. The notes payable consist of the following:</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600" w:type="dxa"/>
            <w:vAlign w:val="bottom"/>
            <w:vMerge w:val="restart"/>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9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$000s</w:t>
            </w:r>
          </w:p>
        </w:tc>
        <w:tc>
          <w:tcPr>
            <w:tcW w:w="70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Loans</w:t>
            </w: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b w:val="1"/>
                <w:bCs w:val="1"/>
                <w:color w:val="auto"/>
                <w:w w:val="84"/>
              </w:rPr>
              <w:t>1,330</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2,552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125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subsidiary notes payable</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1,455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In October 2010, Follica entered into a loan and security agreement with Lighthouse Capital Partners VI, L.P. The loans are secured by Follica’s assets, including Follica’s intellectual property. The outstanding loan balance totaled approximately $1.3 million as of each of December 31, 2019 and 2018.</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May 2014, Gelesis entered into a grant and loan agreement with an Italian economic development agency. Borrowings under the loan totaled</w:t>
      </w:r>
    </w:p>
    <w:p>
      <w:pPr>
        <w:spacing w:after="0" w:line="35"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€1.1 million as of December 31, 2018 (approximately $1.3 million). Gelesis was required to make interest payments only in fiscal years 2014 and 2015, with principal and interest payments from January 2017 through January 2024. As of Gelesis’ deconsolidation, $0.9 million in outstanding principal and interest remained and the outstanding balance was derecognized.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Notes outstanding were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Karuna</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Follica</w:t>
            </w:r>
          </w:p>
        </w:tc>
        <w:tc>
          <w:tcPr>
            <w:tcW w:w="6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Knode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Appeering</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167"/>
        </w:trPr>
        <w:tc>
          <w:tcPr>
            <w:tcW w:w="7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$000s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$000s</w:t>
            </w:r>
          </w:p>
        </w:tc>
        <w:tc>
          <w:tcPr>
            <w:tcW w:w="640" w:type="dxa"/>
            <w:vAlign w:val="bottom"/>
            <w:gridSpan w:val="2"/>
          </w:tcPr>
          <w:p>
            <w:pPr>
              <w:jc w:val="center"/>
              <w:ind w:right="260"/>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$000s</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$000s</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w w:val="73"/>
              </w:rPr>
              <w:t>50</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Gross principal</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4,700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1,124</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5,824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Conversion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(7,581)</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(7,581)</w:t>
            </w:r>
          </w:p>
        </w:tc>
      </w:tr>
      <w:tr>
        <w:trPr>
          <w:trHeight w:val="27"/>
        </w:trPr>
        <w:tc>
          <w:tcPr>
            <w:tcW w:w="7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and January 1, 2019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2,838</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6,495</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50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9,458</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Gross principal</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817</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Conversion to preferred</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(4,894)</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(4,894)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common</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(2,418)</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Deconsolidation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(5,017)</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(5,017)</w:t>
            </w:r>
          </w:p>
        </w:tc>
      </w:tr>
      <w:tr>
        <w:trPr>
          <w:trHeight w:val="27"/>
        </w:trPr>
        <w:tc>
          <w:tcPr>
            <w:tcW w:w="7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50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r>
      <w:tr>
        <w:trPr>
          <w:trHeight w:val="20"/>
        </w:trPr>
        <w:tc>
          <w:tcPr>
            <w:tcW w:w="7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the Group’s subsidiaries have issued convertible promissory notes (“Notes”) to fund their operations with an expectation of an eventual share-based award settlement of the Notes.</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Substantially all Notes become due and payable on or after either December 31 of the year of issuance or on the thirtieth day following a demand by the majority of Note holders and bear interest at a rate of either 8.0 percent (or 12.0 percent upon an Event of Default) or 10.0 percent (or 15.0 percent upon an Event of Default). Interest is calculated based on actual days elapsed for a 360-day calendar year. Generally, the Notes cannot be prepaid without approval from the holders of a majority of the outstanding principle of a series of Notes. During the years ended December 31, 2019 and 2018, the Notes were assessed under IFRS 9 and the entire financial instruments are elected to be accounted for as FVTPL.</w:t>
      </w:r>
    </w:p>
    <w:p>
      <w:pPr>
        <w:spacing w:after="0" w:line="17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Notes constitute complex hybrid instruments, which contain equity conversion features where holders may convert, generally at a discount, the outstanding principal and accrued interest into shares of the subsidiary before maturity and redemption options upon a change of control of the respective subsidiary.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three key features are described below:</w:t>
      </w:r>
    </w:p>
    <w:p>
      <w:pPr>
        <w:spacing w:after="0" w:line="131" w:lineRule="exact"/>
        <w:rPr>
          <w:sz w:val="20"/>
          <w:szCs w:val="20"/>
          <w:color w:val="auto"/>
        </w:rPr>
      </w:pPr>
    </w:p>
    <w:p>
      <w:pPr>
        <w:ind w:left="1080" w:right="60" w:hanging="424"/>
        <w:spacing w:after="0" w:line="259"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Automatic conversion feature—upon a Qualified Financing, as such term is defined in the applicable Note, the unpaid principal and interest amounts are automatically converted into shares of the subsidiary issued in the Qualifying Financing at a conversion price equal to the price at which shares are sold in such Qualified Financing, less a discount. The discounts range from 5.0 percent to 25.0 percent and some require the issuance of an equal number of ordinary shares.</w:t>
      </w:r>
    </w:p>
    <w:p>
      <w:pPr>
        <w:spacing w:after="0" w:line="92" w:lineRule="exact"/>
        <w:rPr>
          <w:rFonts w:ascii="Arial" w:cs="Arial" w:eastAsia="Arial" w:hAnsi="Arial"/>
          <w:sz w:val="18"/>
          <w:szCs w:val="18"/>
          <w:color w:val="auto"/>
        </w:rPr>
      </w:pPr>
    </w:p>
    <w:p>
      <w:pPr>
        <w:jc w:val="both"/>
        <w:ind w:left="1080" w:right="80" w:hanging="424"/>
        <w:spacing w:after="0" w:line="311" w:lineRule="auto"/>
        <w:tabs>
          <w:tab w:leader="none" w:pos="10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Optional conversion feature—upon a Non-Qualified Financing, holders may convert the outstanding principal balance and unpaid interest to shares issued in the Non-Qualifying Financing at a conversion price equal to the price shares are sold in such Non-Qualified Financing, less a discount. The discounts range from 5.0 percent to 25.0 percent and some require the issuance of an equal number of ordinary shares.</w:t>
      </w:r>
    </w:p>
    <w:p>
      <w:pPr>
        <w:spacing w:after="0" w:line="54" w:lineRule="exact"/>
        <w:rPr>
          <w:rFonts w:ascii="Arial" w:cs="Arial" w:eastAsia="Arial" w:hAnsi="Arial"/>
          <w:sz w:val="16"/>
          <w:szCs w:val="16"/>
          <w:color w:val="auto"/>
        </w:rPr>
      </w:pPr>
    </w:p>
    <w:p>
      <w:pPr>
        <w:ind w:left="1080" w:right="60" w:hanging="424"/>
        <w:spacing w:after="0" w:line="286" w:lineRule="auto"/>
        <w:tabs>
          <w:tab w:leader="none" w:pos="10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Change of control features—The Notes also generally contain a put option such that, in the event of a Change of Control transaction of the respective subsidiary prior to conversion or repayment of the Notes, the holders will be paid an amount equal to two or three times the outstanding principal balance plus any accrued and unpaid interest, in cash, on the date of the Change of Control.</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March 15, 2019, Karuna was deconsolidated in conjunction with the closing of a Series B Preferred Stock financing and the outstanding convertible note liability of $5.0 million was derecognized.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May 2017 and September 2017, Follica received $0.5 million and $0.6 million, respectively, from an existing third-party investor through the issuance of convertible notes. The notes bear interest at an annual rate of 10.0 percent, mature 30 days after demand by the holder, are convertible into equity upon a qualifying financing event, and require payment of at least five times the outstanding principal and accrued interest upon a change of control transaction.</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On July 19, 2019, all of the outstanding notes, plus accrued interest, issued by Follica converted into 17,639,204 shares of Series A-3 Preferred Stock and 14,200,044 shares of common shares pursuant to a Series A-3 Note Conversion Agreement between Follica and the noteholders. Third parties held 2,422,990 A-3 preferred shares and 1,981,944 common shares following the conversion. The preferred shares are classified as financial liabilities at fair value through the profit and loss. The common shares are accounted for as Non-controlling interests.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Non-Controlling Interest</w:t>
      </w:r>
    </w:p>
    <w:p>
      <w:pPr>
        <w:spacing w:after="0" w:line="121"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During 2019, the Company deconsolidated three of its subsidiaries which resulted in a change to the composition of its reportable segments. As such, the Company has updated the following disclosures. Please refer to Note 4 “Segment Information” for further details regarding reportable segments.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changes in the equity classified non-controlling ownership interest in subsidiaries by reportable segment:</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Non-</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341"/>
              <w:spacing w:after="0" w:line="149" w:lineRule="exact"/>
              <w:rPr>
                <w:sz w:val="20"/>
                <w:szCs w:val="20"/>
                <w:color w:val="auto"/>
              </w:rPr>
            </w:pPr>
            <w:r>
              <w:rPr>
                <w:rFonts w:ascii="Arial" w:cs="Arial" w:eastAsia="Arial" w:hAnsi="Arial"/>
                <w:sz w:val="14"/>
                <w:szCs w:val="14"/>
                <w:color w:val="auto"/>
                <w:w w:val="97"/>
              </w:rPr>
              <w:t>Controlled</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Controlled</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341"/>
              <w:spacing w:after="0" w:line="149" w:lineRule="exact"/>
              <w:rPr>
                <w:sz w:val="20"/>
                <w:szCs w:val="20"/>
                <w:color w:val="auto"/>
              </w:rPr>
            </w:pPr>
            <w:r>
              <w:rPr>
                <w:rFonts w:ascii="Arial" w:cs="Arial" w:eastAsia="Arial" w:hAnsi="Arial"/>
                <w:sz w:val="14"/>
                <w:szCs w:val="14"/>
                <w:color w:val="auto"/>
                <w:w w:val="90"/>
              </w:rPr>
              <w:t>Founded</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Founded</w:t>
            </w: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Parent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88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Internal</w:t>
            </w:r>
          </w:p>
        </w:tc>
        <w:tc>
          <w:tcPr>
            <w:tcW w:w="1040" w:type="dxa"/>
            <w:vAlign w:val="bottom"/>
            <w:gridSpan w:val="2"/>
          </w:tcPr>
          <w:p>
            <w:pPr>
              <w:jc w:val="right"/>
              <w:ind w:right="441"/>
              <w:spacing w:after="0" w:line="149" w:lineRule="exact"/>
              <w:rPr>
                <w:sz w:val="20"/>
                <w:szCs w:val="20"/>
                <w:color w:val="auto"/>
              </w:rPr>
            </w:pPr>
            <w:r>
              <w:rPr>
                <w:rFonts w:ascii="Arial" w:cs="Arial" w:eastAsia="Arial" w:hAnsi="Arial"/>
                <w:sz w:val="14"/>
                <w:szCs w:val="14"/>
                <w:color w:val="auto"/>
              </w:rPr>
              <w:t>Entities</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Entities</w:t>
            </w: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Company &amp;</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58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color w:val="auto"/>
              </w:rPr>
              <w:t>$000s</w:t>
            </w:r>
          </w:p>
        </w:tc>
        <w:tc>
          <w:tcPr>
            <w:tcW w:w="1040" w:type="dxa"/>
            <w:vAlign w:val="bottom"/>
            <w:gridSpan w:val="2"/>
          </w:tcPr>
          <w:p>
            <w:pPr>
              <w:jc w:val="center"/>
              <w:ind w:right="341"/>
              <w:spacing w:after="0"/>
              <w:rPr>
                <w:sz w:val="20"/>
                <w:szCs w:val="20"/>
                <w:color w:val="auto"/>
              </w:rPr>
            </w:pPr>
            <w:r>
              <w:rPr>
                <w:rFonts w:ascii="Arial" w:cs="Arial" w:eastAsia="Arial" w:hAnsi="Arial"/>
                <w:sz w:val="14"/>
                <w:szCs w:val="14"/>
                <w:color w:val="auto"/>
                <w:w w:val="89"/>
              </w:rPr>
              <w:t>$000s</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$000s</w:t>
            </w:r>
          </w:p>
        </w:tc>
        <w:tc>
          <w:tcPr>
            <w:tcW w:w="1080" w:type="dxa"/>
            <w:vAlign w:val="bottom"/>
            <w:gridSpan w:val="2"/>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4"/>
                <w:szCs w:val="14"/>
                <w:u w:val="single" w:color="auto"/>
                <w:color w:val="auto"/>
              </w:rPr>
              <w:t>$</w:t>
            </w:r>
            <w:r>
              <w:rPr>
                <w:rFonts w:ascii="Arial" w:cs="Arial" w:eastAsia="Arial" w:hAnsi="Arial"/>
                <w:sz w:val="14"/>
                <w:szCs w:val="14"/>
                <w:color w:val="auto"/>
              </w:rPr>
              <w:t>000s</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$000s</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(18,869)</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(125,758)</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525</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(145,586)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Share of comprehensive loss*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(7,315)</w:t>
            </w:r>
          </w:p>
        </w:tc>
        <w:tc>
          <w:tcPr>
            <w:tcW w:w="1040" w:type="dxa"/>
            <w:vAlign w:val="bottom"/>
            <w:gridSpan w:val="2"/>
          </w:tcPr>
          <w:p>
            <w:pPr>
              <w:jc w:val="right"/>
              <w:ind w:right="281"/>
              <w:spacing w:after="0"/>
              <w:rPr>
                <w:sz w:val="20"/>
                <w:szCs w:val="20"/>
                <w:color w:val="auto"/>
              </w:rPr>
            </w:pPr>
            <w:r>
              <w:rPr>
                <w:rFonts w:ascii="Arial" w:cs="Arial" w:eastAsia="Arial" w:hAnsi="Arial"/>
                <w:sz w:val="18"/>
                <w:szCs w:val="18"/>
                <w:color w:val="auto"/>
                <w:w w:val="98"/>
              </w:rPr>
              <w:t>(10,710)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(8,980)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(27,005)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55,168</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55,168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Equity settled share-based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2,476</w:t>
            </w:r>
          </w:p>
        </w:tc>
        <w:tc>
          <w:tcPr>
            <w:tcW w:w="4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6,345</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8,888</w:t>
            </w:r>
          </w:p>
        </w:tc>
      </w:tr>
      <w:tr>
        <w:trPr>
          <w:trHeight w:val="27"/>
        </w:trPr>
        <w:tc>
          <w:tcPr>
            <w:tcW w:w="5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 and January 1, 2019*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(8,799)</w:t>
            </w:r>
          </w:p>
        </w:tc>
        <w:tc>
          <w:tcPr>
            <w:tcW w:w="10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8"/>
              </w:rPr>
              <w:t>(27,103)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(73,225)</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(108,535)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Share of comprehensive loss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(15,264)</w:t>
            </w:r>
          </w:p>
        </w:tc>
        <w:tc>
          <w:tcPr>
            <w:tcW w:w="1040" w:type="dxa"/>
            <w:vAlign w:val="bottom"/>
            <w:gridSpan w:val="2"/>
          </w:tcPr>
          <w:p>
            <w:pPr>
              <w:jc w:val="right"/>
              <w:ind w:right="281"/>
              <w:spacing w:after="0"/>
              <w:rPr>
                <w:sz w:val="20"/>
                <w:szCs w:val="20"/>
                <w:color w:val="auto"/>
              </w:rPr>
            </w:pPr>
            <w:r>
              <w:rPr>
                <w:rFonts w:ascii="Arial" w:cs="Arial" w:eastAsia="Arial" w:hAnsi="Arial"/>
                <w:sz w:val="18"/>
                <w:szCs w:val="18"/>
                <w:color w:val="auto"/>
                <w:w w:val="98"/>
              </w:rPr>
              <w:t>(15,862)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(23,953)</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(55,079)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subsidiaries</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97,178</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97,178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Subsidiary note conversion and changes in NCI ownership interest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1"/>
              <w:spacing w:after="0"/>
              <w:rPr>
                <w:sz w:val="20"/>
                <w:szCs w:val="20"/>
                <w:color w:val="auto"/>
              </w:rPr>
            </w:pPr>
            <w:r>
              <w:rPr>
                <w:rFonts w:ascii="Arial" w:cs="Arial" w:eastAsia="Arial" w:hAnsi="Arial"/>
                <w:sz w:val="18"/>
                <w:szCs w:val="18"/>
                <w:color w:val="auto"/>
              </w:rPr>
              <w:t>23,049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23,049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1,683</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Purchase of minority interest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24,039</w:t>
            </w:r>
          </w:p>
        </w:tc>
        <w:tc>
          <w:tcPr>
            <w:tcW w:w="104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24,039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(18,233</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6"/>
              </w:rPr>
              <w:t>593</w:t>
            </w: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(17,640)</w:t>
            </w:r>
          </w:p>
        </w:tc>
        <w:tc>
          <w:tcPr>
            <w:tcW w:w="120" w:type="dxa"/>
            <w:vAlign w:val="bottom"/>
          </w:tcPr>
          <w:p>
            <w:pPr>
              <w:spacing w:after="0"/>
              <w:rPr>
                <w:sz w:val="19"/>
                <w:szCs w:val="19"/>
                <w:color w:val="auto"/>
              </w:rPr>
            </w:pPr>
          </w:p>
        </w:tc>
      </w:tr>
    </w:tbl>
    <w:p>
      <w:pPr>
        <w:spacing w:after="0" w:line="242" w:lineRule="exact"/>
        <w:rPr>
          <w:sz w:val="20"/>
          <w:szCs w:val="20"/>
          <w:color w:val="auto"/>
        </w:rPr>
      </w:pPr>
    </w:p>
    <w:p>
      <w:pPr>
        <w:ind w:left="540" w:right="100" w:hanging="424"/>
        <w:spacing w:after="0" w:line="263"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deconsolidated three of its subsidiaries which resulted in a change to the composition of its reportable segments. Consequently, the Company has revised the 2018 financial information to conform to the presentation as of and for the period ending December 31,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tables summarize the financial information related to the Group’s subsidiaries with material non-controlling interests, aggregated for interests in similar entities, and before intra group eliminations.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Controlled</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Controlled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Internal</w:t>
            </w:r>
          </w:p>
        </w:tc>
        <w:tc>
          <w:tcPr>
            <w:tcW w:w="2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Founded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Founded</w:t>
            </w:r>
          </w:p>
        </w:tc>
        <w:tc>
          <w:tcPr>
            <w:tcW w:w="0" w:type="dxa"/>
            <w:vAlign w:val="bottom"/>
          </w:tcPr>
          <w:p>
            <w:pPr>
              <w:spacing w:after="0"/>
              <w:rPr>
                <w:sz w:val="1"/>
                <w:szCs w:val="1"/>
                <w:color w:val="auto"/>
              </w:rPr>
            </w:pPr>
          </w:p>
        </w:tc>
      </w:tr>
      <w:tr>
        <w:trPr>
          <w:trHeight w:val="148"/>
        </w:trPr>
        <w:tc>
          <w:tcPr>
            <w:tcW w:w="5920" w:type="dxa"/>
            <w:vAlign w:val="bottom"/>
            <w:gridSpan w:val="3"/>
            <w:vMerge w:val="restart"/>
          </w:tcPr>
          <w:p>
            <w:pPr>
              <w:spacing w:after="0"/>
              <w:rPr>
                <w:sz w:val="20"/>
                <w:szCs w:val="20"/>
                <w:color w:val="auto"/>
              </w:rPr>
            </w:pPr>
            <w:r>
              <w:rPr>
                <w:rFonts w:ascii="Arial" w:cs="Arial" w:eastAsia="Arial" w:hAnsi="Arial"/>
                <w:sz w:val="14"/>
                <w:szCs w:val="14"/>
                <w:color w:val="auto"/>
              </w:rPr>
              <w:t>For the year ended December 31,</w:t>
            </w: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Entities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Entities</w:t>
            </w:r>
          </w:p>
        </w:tc>
        <w:tc>
          <w:tcPr>
            <w:tcW w:w="0" w:type="dxa"/>
            <w:vAlign w:val="bottom"/>
          </w:tcPr>
          <w:p>
            <w:pPr>
              <w:spacing w:after="0"/>
              <w:rPr>
                <w:sz w:val="1"/>
                <w:szCs w:val="1"/>
                <w:color w:val="auto"/>
              </w:rPr>
            </w:pPr>
          </w:p>
        </w:tc>
      </w:tr>
      <w:tr>
        <w:trPr>
          <w:trHeight w:val="158"/>
        </w:trPr>
        <w:tc>
          <w:tcPr>
            <w:tcW w:w="5920" w:type="dxa"/>
            <w:vAlign w:val="bottom"/>
            <w:gridSpan w:val="3"/>
            <w:vMerge w:val="continue"/>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7"/>
              </w:rPr>
              <w:t>$000s</w:t>
            </w:r>
          </w:p>
        </w:tc>
        <w:tc>
          <w:tcPr>
            <w:tcW w:w="260" w:type="dxa"/>
            <w:vAlign w:val="bottom"/>
          </w:tcPr>
          <w:p>
            <w:pPr>
              <w:spacing w:after="0"/>
              <w:rPr>
                <w:sz w:val="13"/>
                <w:szCs w:val="13"/>
                <w:color w:val="auto"/>
              </w:rPr>
            </w:pPr>
          </w:p>
        </w:tc>
        <w:tc>
          <w:tcPr>
            <w:tcW w:w="12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 of Comprehensive Loss</w:t>
            </w: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6,078</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1,968</w:t>
            </w:r>
          </w:p>
        </w:tc>
        <w:tc>
          <w:tcPr>
            <w:tcW w:w="5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for the year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(24,289)</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(26,250)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6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income/(loss) for the year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(24,289)</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(26,250)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(47,915)</w:t>
            </w:r>
          </w:p>
        </w:tc>
        <w:tc>
          <w:tcPr>
            <w:tcW w:w="0" w:type="dxa"/>
            <w:vAlign w:val="bottom"/>
          </w:tcPr>
          <w:p>
            <w:pPr>
              <w:spacing w:after="0"/>
              <w:rPr>
                <w:sz w:val="1"/>
                <w:szCs w:val="1"/>
                <w:color w:val="auto"/>
              </w:rPr>
            </w:pPr>
          </w:p>
        </w:tc>
      </w:tr>
      <w:tr>
        <w:trPr>
          <w:trHeight w:val="223"/>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Statement of Financial Position</w:t>
            </w: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5,290</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50,554</w:t>
            </w:r>
          </w:p>
        </w:tc>
        <w:tc>
          <w:tcPr>
            <w:tcW w:w="5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(45,264)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jc w:val="center"/>
              <w:spacing w:after="0" w:line="123" w:lineRule="exact"/>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7"/>
              </w:rPr>
              <w:t>Controlled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Controlled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Founded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Founded</w:t>
            </w:r>
          </w:p>
        </w:tc>
        <w:tc>
          <w:tcPr>
            <w:tcW w:w="0" w:type="dxa"/>
            <w:vAlign w:val="bottom"/>
          </w:tcPr>
          <w:p>
            <w:pPr>
              <w:spacing w:after="0"/>
              <w:rPr>
                <w:sz w:val="1"/>
                <w:szCs w:val="1"/>
                <w:color w:val="auto"/>
              </w:rPr>
            </w:pPr>
          </w:p>
        </w:tc>
      </w:tr>
      <w:tr>
        <w:trPr>
          <w:trHeight w:val="149"/>
        </w:trPr>
        <w:tc>
          <w:tcPr>
            <w:tcW w:w="5920" w:type="dxa"/>
            <w:vAlign w:val="bottom"/>
            <w:gridSpan w:val="3"/>
            <w:vMerge w:val="restart"/>
          </w:tcPr>
          <w:p>
            <w:pPr>
              <w:spacing w:after="0"/>
              <w:rPr>
                <w:sz w:val="20"/>
                <w:szCs w:val="20"/>
                <w:color w:val="auto"/>
              </w:rPr>
            </w:pPr>
            <w:r>
              <w:rPr>
                <w:rFonts w:ascii="Arial" w:cs="Arial" w:eastAsia="Arial" w:hAnsi="Arial"/>
                <w:sz w:val="14"/>
                <w:szCs w:val="14"/>
                <w:color w:val="auto"/>
              </w:rPr>
              <w:t>For the year ended December 31,</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Internal</w:t>
            </w:r>
          </w:p>
        </w:tc>
        <w:tc>
          <w:tcPr>
            <w:tcW w:w="2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Entities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Entities</w:t>
            </w:r>
          </w:p>
        </w:tc>
        <w:tc>
          <w:tcPr>
            <w:tcW w:w="0" w:type="dxa"/>
            <w:vAlign w:val="bottom"/>
          </w:tcPr>
          <w:p>
            <w:pPr>
              <w:spacing w:after="0"/>
              <w:rPr>
                <w:sz w:val="1"/>
                <w:szCs w:val="1"/>
                <w:color w:val="auto"/>
              </w:rPr>
            </w:pPr>
          </w:p>
        </w:tc>
      </w:tr>
      <w:tr>
        <w:trPr>
          <w:trHeight w:val="154"/>
        </w:trPr>
        <w:tc>
          <w:tcPr>
            <w:tcW w:w="5920" w:type="dxa"/>
            <w:vAlign w:val="bottom"/>
            <w:gridSpan w:val="3"/>
            <w:vMerge w:val="continue"/>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9"/>
              </w:rPr>
              <w:t>$000s</w:t>
            </w:r>
          </w:p>
        </w:tc>
        <w:tc>
          <w:tcPr>
            <w:tcW w:w="260" w:type="dxa"/>
            <w:vAlign w:val="bottom"/>
          </w:tcPr>
          <w:p>
            <w:pPr>
              <w:spacing w:after="0"/>
              <w:rPr>
                <w:sz w:val="13"/>
                <w:szCs w:val="13"/>
                <w:color w:val="auto"/>
              </w:rPr>
            </w:pPr>
          </w:p>
        </w:tc>
        <w:tc>
          <w:tcPr>
            <w:tcW w:w="1240" w:type="dxa"/>
            <w:vAlign w:val="bottom"/>
            <w:gridSpan w:val="2"/>
          </w:tcPr>
          <w:p>
            <w:pPr>
              <w:jc w:val="center"/>
              <w:ind w:right="580"/>
              <w:spacing w:after="0" w:line="154" w:lineRule="exact"/>
              <w:rPr>
                <w:sz w:val="20"/>
                <w:szCs w:val="20"/>
                <w:color w:val="auto"/>
              </w:rPr>
            </w:pPr>
            <w:r>
              <w:rPr>
                <w:rFonts w:ascii="Arial" w:cs="Arial" w:eastAsia="Arial" w:hAnsi="Arial"/>
                <w:sz w:val="14"/>
                <w:szCs w:val="14"/>
                <w:color w:val="auto"/>
                <w:w w:val="89"/>
              </w:rPr>
              <w:t>$000s</w:t>
            </w:r>
          </w:p>
        </w:tc>
        <w:tc>
          <w:tcPr>
            <w:tcW w:w="92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89"/>
              </w:rPr>
              <w:t>$000s</w:t>
            </w: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Statement of Comprehensive Loss</w:t>
            </w: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20" w:type="dxa"/>
            <w:vAlign w:val="bottom"/>
          </w:tcPr>
          <w:p>
            <w:pPr>
              <w:jc w:val="right"/>
              <w:spacing w:after="0"/>
              <w:rPr>
                <w:sz w:val="20"/>
                <w:szCs w:val="20"/>
                <w:color w:val="auto"/>
              </w:rPr>
            </w:pPr>
            <w:r>
              <w:rPr>
                <w:rFonts w:ascii="Arial" w:cs="Arial" w:eastAsia="Arial" w:hAnsi="Arial"/>
                <w:sz w:val="18"/>
                <w:szCs w:val="18"/>
                <w:color w:val="auto"/>
              </w:rPr>
              <w:t>2,195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18,504</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for the year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(8,454)</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(26,206)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(214)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income/(loss) for the year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(8,454)</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(26,420)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23"/>
        </w:trPr>
        <w:tc>
          <w:tcPr>
            <w:tcW w:w="5920" w:type="dxa"/>
            <w:vAlign w:val="bottom"/>
            <w:gridSpan w:val="3"/>
          </w:tcPr>
          <w:p>
            <w:pPr>
              <w:spacing w:after="0"/>
              <w:rPr>
                <w:sz w:val="20"/>
                <w:szCs w:val="20"/>
                <w:color w:val="auto"/>
              </w:rPr>
            </w:pPr>
            <w:r>
              <w:rPr>
                <w:rFonts w:ascii="Arial" w:cs="Arial" w:eastAsia="Arial" w:hAnsi="Arial"/>
                <w:sz w:val="18"/>
                <w:szCs w:val="18"/>
                <w:color w:val="auto"/>
              </w:rPr>
              <w:t>Statement of Financial Position</w:t>
            </w: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60,992</w:t>
            </w:r>
          </w:p>
        </w:tc>
        <w:tc>
          <w:tcPr>
            <w:tcW w:w="5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Liabilities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(10,382)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(45,389)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hanging="424"/>
        <w:spacing w:after="0" w:line="263" w:lineRule="auto"/>
        <w:tabs>
          <w:tab w:leader="none" w:pos="540" w:val="left"/>
        </w:tabs>
        <w:numPr>
          <w:ilvl w:val="0"/>
          <w:numId w:val="221"/>
        </w:numPr>
        <w:rPr>
          <w:rFonts w:ascii="Arial" w:cs="Arial" w:eastAsia="Arial" w:hAnsi="Arial"/>
          <w:sz w:val="15"/>
          <w:szCs w:val="15"/>
          <w:color w:val="auto"/>
        </w:rPr>
      </w:pPr>
      <w:r>
        <w:rPr>
          <w:rFonts w:ascii="Arial" w:cs="Arial" w:eastAsia="Arial" w:hAnsi="Arial"/>
          <w:sz w:val="18"/>
          <w:szCs w:val="18"/>
          <w:color w:val="auto"/>
        </w:rPr>
        <w:t>Non-Controlled Founded Entities non-controlling interest calculation does not include equity method accounting, fair value method accounting or the gain on the deconsolidation of subsidiary related to Vor, Karuna, Gelesis, resTORbio or Akili, which is recorded within PureTech Health LLC. Please refer to Note 5.</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Controlled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Controlled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Founded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Founded</w:t>
            </w:r>
          </w:p>
        </w:tc>
        <w:tc>
          <w:tcPr>
            <w:tcW w:w="0" w:type="dxa"/>
            <w:vAlign w:val="bottom"/>
          </w:tcPr>
          <w:p>
            <w:pPr>
              <w:spacing w:after="0"/>
              <w:rPr>
                <w:sz w:val="1"/>
                <w:szCs w:val="1"/>
                <w:color w:val="auto"/>
              </w:rPr>
            </w:pPr>
          </w:p>
        </w:tc>
      </w:tr>
      <w:tr>
        <w:trPr>
          <w:trHeight w:val="149"/>
        </w:trPr>
        <w:tc>
          <w:tcPr>
            <w:tcW w:w="6180" w:type="dxa"/>
            <w:vAlign w:val="bottom"/>
            <w:gridSpan w:val="3"/>
            <w:vMerge w:val="restart"/>
          </w:tcPr>
          <w:p>
            <w:pPr>
              <w:spacing w:after="0"/>
              <w:rPr>
                <w:sz w:val="20"/>
                <w:szCs w:val="20"/>
                <w:color w:val="auto"/>
              </w:rPr>
            </w:pPr>
            <w:r>
              <w:rPr>
                <w:rFonts w:ascii="Arial" w:cs="Arial" w:eastAsia="Arial" w:hAnsi="Arial"/>
                <w:sz w:val="14"/>
                <w:szCs w:val="14"/>
                <w:color w:val="auto"/>
              </w:rPr>
              <w:t>For the year ended December 31,</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Internal</w:t>
            </w:r>
          </w:p>
        </w:tc>
        <w:tc>
          <w:tcPr>
            <w:tcW w:w="2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Entities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Entities</w:t>
            </w:r>
          </w:p>
        </w:tc>
        <w:tc>
          <w:tcPr>
            <w:tcW w:w="0" w:type="dxa"/>
            <w:vAlign w:val="bottom"/>
          </w:tcPr>
          <w:p>
            <w:pPr>
              <w:spacing w:after="0"/>
              <w:rPr>
                <w:sz w:val="1"/>
                <w:szCs w:val="1"/>
                <w:color w:val="auto"/>
              </w:rPr>
            </w:pPr>
          </w:p>
        </w:tc>
      </w:tr>
      <w:tr>
        <w:trPr>
          <w:trHeight w:val="154"/>
        </w:trPr>
        <w:tc>
          <w:tcPr>
            <w:tcW w:w="6180" w:type="dxa"/>
            <w:vAlign w:val="bottom"/>
            <w:gridSpan w:val="3"/>
            <w:vMerge w:val="continue"/>
          </w:tcPr>
          <w:p>
            <w:pPr>
              <w:spacing w:after="0"/>
              <w:rPr>
                <w:sz w:val="13"/>
                <w:szCs w:val="13"/>
                <w:color w:val="auto"/>
              </w:rPr>
            </w:pPr>
          </w:p>
        </w:tc>
        <w:tc>
          <w:tcPr>
            <w:tcW w:w="80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$000s</w:t>
            </w:r>
          </w:p>
        </w:tc>
        <w:tc>
          <w:tcPr>
            <w:tcW w:w="200" w:type="dxa"/>
            <w:vAlign w:val="bottom"/>
          </w:tcPr>
          <w:p>
            <w:pPr>
              <w:spacing w:after="0"/>
              <w:rPr>
                <w:sz w:val="13"/>
                <w:szCs w:val="13"/>
                <w:color w:val="auto"/>
              </w:rPr>
            </w:pPr>
          </w:p>
        </w:tc>
        <w:tc>
          <w:tcPr>
            <w:tcW w:w="1100" w:type="dxa"/>
            <w:vAlign w:val="bottom"/>
            <w:gridSpan w:val="2"/>
          </w:tcPr>
          <w:p>
            <w:pPr>
              <w:jc w:val="center"/>
              <w:ind w:right="480"/>
              <w:spacing w:after="0" w:line="154" w:lineRule="exact"/>
              <w:rPr>
                <w:sz w:val="20"/>
                <w:szCs w:val="20"/>
                <w:color w:val="auto"/>
              </w:rPr>
            </w:pPr>
            <w:r>
              <w:rPr>
                <w:rFonts w:ascii="Arial" w:cs="Arial" w:eastAsia="Arial" w:hAnsi="Arial"/>
                <w:sz w:val="14"/>
                <w:szCs w:val="14"/>
                <w:color w:val="auto"/>
                <w:w w:val="89"/>
              </w:rPr>
              <w:t>$000s</w:t>
            </w:r>
          </w:p>
        </w:tc>
        <w:tc>
          <w:tcPr>
            <w:tcW w:w="98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3"/>
              </w:rPr>
              <w:t>$000s</w:t>
            </w:r>
            <w:r>
              <w:rPr>
                <w:rFonts w:ascii="Arial" w:cs="Arial" w:eastAsia="Arial" w:hAnsi="Arial"/>
                <w:sz w:val="12"/>
                <w:szCs w:val="12"/>
                <w:color w:val="auto"/>
                <w:w w:val="93"/>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Statement of Comprehensive Loss</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1,880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for the year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(1,939)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(44,843)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income/(loss) for the year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(1,939)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(44,843)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63" w:lineRule="auto"/>
        <w:tabs>
          <w:tab w:leader="none" w:pos="540" w:val="left"/>
        </w:tabs>
        <w:numPr>
          <w:ilvl w:val="0"/>
          <w:numId w:val="222"/>
        </w:numPr>
        <w:rPr>
          <w:rFonts w:ascii="Arial" w:cs="Arial" w:eastAsia="Arial" w:hAnsi="Arial"/>
          <w:sz w:val="15"/>
          <w:szCs w:val="15"/>
          <w:color w:val="auto"/>
        </w:rPr>
      </w:pPr>
      <w:r>
        <w:rPr>
          <w:rFonts w:ascii="Arial" w:cs="Arial" w:eastAsia="Arial" w:hAnsi="Arial"/>
          <w:sz w:val="18"/>
          <w:szCs w:val="18"/>
          <w:color w:val="auto"/>
        </w:rPr>
        <w:t>Non-Controlled Founded Entities non-controlling interest calculation does not include equity method accounting, fair value method accounting or the gain on the deconsolidation of subsidiary related to resTORbio or Akili, which is recorded within PureTech Health LLC. Please refer to Note 5.</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July 19, 2019 PureTech and a third party investor converted their convertible debt in Follica to Follica Preferred shares (presented as liabilities) and Follica common shares. The amount of convertible debt converted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by the third party investor into Follica common shares amounted to $2.4 million (see also Note 16). As a result of the conversion Follica NCI share (in Follica common stock) was reduced from 68% to 19.9%, which resulted in a reduction in the NCI share in Follica’s shareholders’ deficit of $20.1 million. The excess of the change in the book value of NCI ($20.1 million noted above) over the contribution made by NCI ($2.4 million) amounted to $17.8 million and was recorded as a loss directly in shareholders’ equity.</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During 2019 a subsidiary of the Company fully funded by the Company ceased its operations and became inactive. This resulted in a change in the NCI share in the subsidiary deficit. As a result the Company recorded a loss directly in equity of $3.1 million.</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October 1, 2019, PureTech acquired the remaining 10.0 percent of minority non-controlling interests of PureTech LYT, Inc. (previously named Ariya Therapeutics, Inc.), increasing its ownership from 90 percent to 100 percent. In consideration for the acquisition of minority interests, PureTech issued 2,126,338 shares of common shares. The fair value of the shares issued in consideration for the minority non-controlling interest amounted to $9.1 million. The carrying amount of the non-controlling interest at the acquisition was a $24 million deficit and the excess of the consideration paid over the book value of the non-controlling interest of approximately $33.1 million was recorded directly in shareholders’ equity.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Trade and Other Payables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Trade and other payables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520" w:type="dxa"/>
            <w:vAlign w:val="bottom"/>
            <w:vMerge w:val="restart"/>
          </w:tcPr>
          <w:p>
            <w:pPr>
              <w:spacing w:after="0"/>
              <w:rPr>
                <w:sz w:val="14"/>
                <w:szCs w:val="14"/>
                <w:color w:val="auto"/>
              </w:rPr>
            </w:pPr>
          </w:p>
        </w:tc>
        <w:tc>
          <w:tcPr>
            <w:tcW w:w="62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95"/>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980" w:type="dxa"/>
            <w:vAlign w:val="bottom"/>
            <w:gridSpan w:val="4"/>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700" w:type="dxa"/>
            <w:vAlign w:val="bottom"/>
            <w:gridSpan w:val="3"/>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payables</w:t>
            </w: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11,098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8,744</w:t>
            </w:r>
          </w:p>
        </w:tc>
        <w:tc>
          <w:tcPr>
            <w:tcW w:w="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trade and other payables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19,842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547"/>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20. Other Long-Term Liabilities</w:t>
            </w: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gridSpan w:val="3"/>
          </w:tcPr>
          <w:p>
            <w:pPr>
              <w:spacing w:after="0"/>
              <w:rPr>
                <w:sz w:val="20"/>
                <w:szCs w:val="20"/>
                <w:color w:val="auto"/>
              </w:rPr>
            </w:pPr>
            <w:r>
              <w:rPr>
                <w:rFonts w:ascii="Arial" w:cs="Arial" w:eastAsia="Arial" w:hAnsi="Arial"/>
                <w:sz w:val="18"/>
                <w:szCs w:val="18"/>
                <w:color w:val="auto"/>
              </w:rPr>
              <w:t>Information regarding Other long-term liabilities was as follows: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20" w:type="dxa"/>
            <w:vAlign w:val="bottom"/>
          </w:tcPr>
          <w:p>
            <w:pPr>
              <w:spacing w:after="0"/>
              <w:rPr>
                <w:sz w:val="24"/>
                <w:szCs w:val="24"/>
                <w:color w:val="auto"/>
              </w:rPr>
            </w:pPr>
          </w:p>
        </w:tc>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520" w:type="dxa"/>
            <w:vAlign w:val="bottom"/>
            <w:vMerge w:val="restart"/>
          </w:tcPr>
          <w:p>
            <w:pPr>
              <w:spacing w:after="0"/>
              <w:rPr>
                <w:sz w:val="24"/>
                <w:szCs w:val="24"/>
                <w:color w:val="auto"/>
              </w:rPr>
            </w:pPr>
          </w:p>
        </w:tc>
        <w:tc>
          <w:tcPr>
            <w:tcW w:w="7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24"/>
                <w:szCs w:val="24"/>
                <w:color w:val="auto"/>
              </w:rPr>
            </w:pPr>
          </w:p>
        </w:tc>
        <w:tc>
          <w:tcPr>
            <w:tcW w:w="660" w:type="dxa"/>
            <w:vAlign w:val="bottom"/>
            <w:gridSpan w:val="2"/>
          </w:tcPr>
          <w:p>
            <w:pPr>
              <w:jc w:val="right"/>
              <w:ind w:right="15"/>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000s</w:t>
            </w:r>
          </w:p>
        </w:tc>
        <w:tc>
          <w:tcPr>
            <w:tcW w:w="160" w:type="dxa"/>
            <w:vAlign w:val="bottom"/>
          </w:tcPr>
          <w:p>
            <w:pPr>
              <w:spacing w:after="0"/>
              <w:rPr>
                <w:sz w:val="15"/>
                <w:szCs w:val="15"/>
                <w:color w:val="auto"/>
              </w:rPr>
            </w:pPr>
          </w:p>
        </w:tc>
        <w:tc>
          <w:tcPr>
            <w:tcW w:w="54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Deferred rent</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Lease incentive obligation</w:t>
            </w:r>
          </w:p>
        </w:tc>
        <w:tc>
          <w:tcPr>
            <w:tcW w:w="420" w:type="dxa"/>
            <w:vAlign w:val="bottom"/>
          </w:tcPr>
          <w:p>
            <w:pPr>
              <w:spacing w:after="0"/>
              <w:rPr>
                <w:sz w:val="18"/>
                <w:szCs w:val="18"/>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Note 3 for a discussion of deferred revenue balances as of December 31, 2019 and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Leases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On January 1, 2019 the Company adopted IFRS 16, which replaced IAS 17 for the annual period beginning on January 1, 2019. Further discussion around the adoption of IFRS 16 is included in Note 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activity related to the Group’s right of use asset and lease liability for the year ended December 31, 2019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Right of use asset, net</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$000s</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Adoption of IFRS 16</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19,434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Subleases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(2,580)</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(3,237)</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Deconsolidated</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Total lease liability</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$000s</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Adoption of IFRS 16</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30,305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rent</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(4,173)</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2,495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Deconsolidated</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(1,779)</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reconciles operating lease commitments disclosed as at December 31, 2018 to the lease liability recognized at January 1, 2019:</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December 31, 2018</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Discounted using the lessee’s incremental borrowing rate at the date of initial application</w:t>
            </w:r>
          </w:p>
        </w:tc>
        <w:tc>
          <w:tcPr>
            <w:tcW w:w="1820" w:type="dxa"/>
            <w:vAlign w:val="bottom"/>
            <w:gridSpan w:val="2"/>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liability recognized at January 1, 2019</w:t>
            </w:r>
          </w:p>
        </w:tc>
        <w:tc>
          <w:tcPr>
            <w:tcW w:w="182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10,995</w:t>
            </w:r>
          </w:p>
        </w:tc>
        <w:tc>
          <w:tcPr>
            <w:tcW w:w="0" w:type="dxa"/>
            <w:vAlign w:val="bottom"/>
          </w:tcPr>
          <w:p>
            <w:pPr>
              <w:spacing w:after="0"/>
              <w:rPr>
                <w:sz w:val="1"/>
                <w:szCs w:val="1"/>
                <w:color w:val="auto"/>
              </w:rPr>
            </w:pPr>
          </w:p>
        </w:tc>
      </w:tr>
      <w:tr>
        <w:trPr>
          <w:trHeight w:val="439"/>
        </w:trPr>
        <w:tc>
          <w:tcPr>
            <w:tcW w:w="8040" w:type="dxa"/>
            <w:vAlign w:val="bottom"/>
            <w:gridSpan w:val="3"/>
          </w:tcPr>
          <w:p>
            <w:pPr>
              <w:spacing w:after="0"/>
              <w:rPr>
                <w:sz w:val="20"/>
                <w:szCs w:val="20"/>
                <w:color w:val="auto"/>
              </w:rPr>
            </w:pPr>
            <w:r>
              <w:rPr>
                <w:rFonts w:ascii="Arial" w:cs="Arial" w:eastAsia="Arial" w:hAnsi="Arial"/>
                <w:sz w:val="18"/>
                <w:szCs w:val="18"/>
                <w:color w:val="auto"/>
                <w:w w:val="97"/>
              </w:rPr>
              <w:t>The following details the short term and long-term portion of the lease liability as at December 31, 2019:</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52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w w:val="91"/>
              </w:rPr>
              <w:t>Total lease liability</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520" w:type="dxa"/>
            <w:vAlign w:val="bottom"/>
            <w:gridSpan w:val="4"/>
          </w:tcPr>
          <w:p>
            <w:pPr>
              <w:jc w:val="right"/>
              <w:ind w:right="176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Portion of Lease Liability</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60" w:type="dxa"/>
            <w:vAlign w:val="bottom"/>
            <w:tcBorders>
              <w:left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Portion of Lease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34,914</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37,843</w:t>
            </w:r>
          </w:p>
        </w:tc>
        <w:tc>
          <w:tcPr>
            <w:tcW w:w="660" w:type="dxa"/>
            <w:vAlign w:val="bottom"/>
            <w:tcBorders>
              <w:left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80" w:type="dxa"/>
            <w:vAlign w:val="bottom"/>
          </w:tcPr>
          <w:p>
            <w:pPr>
              <w:ind w:left="3580"/>
              <w:spacing w:after="0"/>
              <w:rPr>
                <w:sz w:val="20"/>
                <w:szCs w:val="20"/>
                <w:color w:val="auto"/>
              </w:rPr>
            </w:pPr>
            <w:r>
              <w:rPr>
                <w:rFonts w:ascii="Arial" w:cs="Arial" w:eastAsia="Arial" w:hAnsi="Arial"/>
                <w:sz w:val="18"/>
                <w:szCs w:val="18"/>
                <w:color w:val="auto"/>
              </w:rPr>
              <w:t>F-64</w:t>
            </w:r>
          </w:p>
        </w:tc>
        <w:tc>
          <w:tcPr>
            <w:tcW w:w="11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details the future maturities of the lease liability, showing the undiscounted lease payments to be received after the reporting date: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to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Two to three years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Three to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Four to five years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More than five years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Total undiscounted lease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-97155</wp:posOffset>
            </wp:positionV>
            <wp:extent cx="4749165"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Interest</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2019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$000s</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5,257</w:t>
      </w:r>
    </w:p>
    <w:p>
      <w:pPr>
        <w:spacing w:after="0" w:line="8"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5,409</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5,603</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6,071</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6,247</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5"/>
          <w:szCs w:val="15"/>
          <w:b w:val="1"/>
          <w:bCs w:val="1"/>
          <w:color w:val="auto"/>
        </w:rPr>
        <w:t>21,494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27940</wp:posOffset>
            </wp:positionV>
            <wp:extent cx="4032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50,080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39370</wp:posOffset>
            </wp:positionV>
            <wp:extent cx="4032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39370</wp:posOffset>
            </wp:positionV>
            <wp:extent cx="4032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39370</wp:posOffset>
            </wp:positionV>
            <wp:extent cx="4032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100" w:space="720"/>
            <w:col w:w="2300"/>
          </w:cols>
          <w:pgMar w:left="320" w:top="459" w:right="459" w:bottom="1440" w:gutter="0" w:footer="0" w:header="0"/>
          <w:type w:val="continuous"/>
        </w:sectPr>
      </w:pPr>
    </w:p>
    <w:p>
      <w:pPr>
        <w:spacing w:after="0" w:line="5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Additions in the period relate to three leases that were entered into by PureTech and its consolidated subsidiaries during the year ended December 31, 2019. Amounts were arrived at using the contractual minimal lease payments, present valued using the applicable incremental borrowing rate, which ranged from 5.49 percent to 6.58 percent. Rent expense related to short-term leases which are not accounted for under IFRS 16 was $1.3 million for the year ended December 31, 2019.</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year ended December 31, 2019, PureTech entered into a lease agreement for certain premises consisting of approximately 50,858 rentable square feet of space located at 6 Tide Street. The lease commenced on April 26, 2019 (“Commencement Date”) for an initial term consisting of ten years and three months and there is an option to extend for two consecutive periods of five years each. As of December 31, 2019, the Company has not determined whether it will exercise these extension options.</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On June 26, 2019, PureTech executed a sublease agreement with Gelesis. The lease is for the approximately 9,446 rentable square feet located on the sixth floor of the Company’s former offices at the 501 Boylston Street building. The sublessee obtained possession of the premises on June 1, 2019 and the rent period term begins June 1, 2019 and expires on August 31, 2025. The sublease was determined to be a finance lease and was reclassified from the right of use asset to a lease receivable at inception of the sublease. As of December 31, 2019 the balances related to the sublease were as follows:</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Total lease receivable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Portion of Lease Receivable</w:t>
            </w:r>
          </w:p>
        </w:tc>
        <w:tc>
          <w:tcPr>
            <w:tcW w:w="2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Long-term Portion of Lease Receivable</w:t>
            </w:r>
          </w:p>
        </w:tc>
        <w:tc>
          <w:tcPr>
            <w:tcW w:w="29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29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2,432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60" w:type="dxa"/>
            <w:vAlign w:val="bottom"/>
            <w:gridSpan w:val="3"/>
          </w:tcPr>
          <w:p>
            <w:pPr>
              <w:jc w:val="right"/>
              <w:ind w:right="3560"/>
              <w:spacing w:after="0"/>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type w:val="continuous"/>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details the future maturities of the lease receivable, showing the undiscounted lease payments to be received after the reporting date: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to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Two to three years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Three to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Four to five years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More than five years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Total undiscounted lease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-97155</wp:posOffset>
            </wp:positionV>
            <wp:extent cx="4749165"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Unearned Finance income</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Net investment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2019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$000s</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485</w:t>
      </w:r>
    </w:p>
    <w:p>
      <w:pPr>
        <w:spacing w:after="0" w:line="8"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494</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504</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513</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523</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5715</wp:posOffset>
            </wp:positionV>
            <wp:extent cx="36004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right"/>
        <w:ind w:right="1820"/>
        <w:spacing w:after="0"/>
        <w:rPr>
          <w:sz w:val="20"/>
          <w:szCs w:val="20"/>
          <w:color w:val="auto"/>
        </w:rPr>
      </w:pPr>
      <w:r>
        <w:rPr>
          <w:rFonts w:ascii="Arial" w:cs="Arial" w:eastAsia="Arial" w:hAnsi="Arial"/>
          <w:sz w:val="17"/>
          <w:szCs w:val="17"/>
          <w:b w:val="1"/>
          <w:bCs w:val="1"/>
          <w:color w:val="auto"/>
        </w:rPr>
        <w:t>2,872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24765</wp:posOffset>
            </wp:positionV>
            <wp:extent cx="36004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8"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17145</wp:posOffset>
            </wp:positionV>
            <wp:extent cx="36004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 w:lineRule="exact"/>
        <w:rPr>
          <w:sz w:val="20"/>
          <w:szCs w:val="20"/>
          <w:color w:val="auto"/>
        </w:rPr>
      </w:pPr>
    </w:p>
    <w:p>
      <w:pPr>
        <w:jc w:val="right"/>
        <w:ind w:right="1820"/>
        <w:spacing w:after="0"/>
        <w:rPr>
          <w:sz w:val="20"/>
          <w:szCs w:val="20"/>
          <w:color w:val="auto"/>
        </w:rPr>
      </w:pPr>
      <w:r>
        <w:rPr>
          <w:rFonts w:ascii="Arial" w:cs="Arial" w:eastAsia="Arial" w:hAnsi="Arial"/>
          <w:sz w:val="17"/>
          <w:szCs w:val="17"/>
          <w:b w:val="1"/>
          <w:bCs w:val="1"/>
          <w:color w:val="auto"/>
        </w:rPr>
        <w:t>2,432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24765</wp:posOffset>
            </wp:positionV>
            <wp:extent cx="3600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140" w:space="720"/>
            <w:col w:w="2260"/>
          </w:cols>
          <w:pgMar w:left="320" w:top="459" w:right="459" w:bottom="1440" w:gutter="0" w:footer="0" w:header="0"/>
          <w:type w:val="continuous"/>
        </w:sectPr>
      </w:pPr>
    </w:p>
    <w:p>
      <w:pPr>
        <w:spacing w:after="0" w:line="5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August 6, 2019, PureTech executed a sublease agreement with Dewpoint Therapeutics, Inc. (“Dewpoint”). The sublease is for approximately 11,852 rentable square feet located on the third floor of the 6 Tide Street building, where the Company’s offices are currently located. Dewpoint obtained possession of the premises on September 1, 2019 with a rent period term that begins on September 1, 2019 and expires on August 31, 2021. The sublease was determined to be an operating lease.</w:t>
      </w:r>
    </w:p>
    <w:p>
      <w:pPr>
        <w:spacing w:after="0" w:line="187" w:lineRule="exact"/>
        <w:rPr>
          <w:sz w:val="20"/>
          <w:szCs w:val="20"/>
          <w:color w:val="auto"/>
        </w:rPr>
      </w:pPr>
    </w:p>
    <w:p>
      <w:pPr>
        <w:ind w:left="120" w:right="720"/>
        <w:spacing w:after="0" w:line="308" w:lineRule="auto"/>
        <w:rPr>
          <w:sz w:val="20"/>
          <w:szCs w:val="20"/>
          <w:color w:val="auto"/>
        </w:rPr>
      </w:pPr>
      <w:r>
        <w:rPr>
          <w:rFonts w:ascii="Arial" w:cs="Arial" w:eastAsia="Arial" w:hAnsi="Arial"/>
          <w:sz w:val="17"/>
          <w:szCs w:val="17"/>
          <w:color w:val="auto"/>
        </w:rPr>
        <w:t>Rental income recognized by the Company during the year ended December 31, 2019 was $0.36 million. The following table details the future payments under the sublease, showing the undiscounted lease payments to be received after the reporting date:</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ind w:left="12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6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One to two years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Prior to the adoption of IFRS 16, minimum rental commitments under non-cancellable leases were payable as follows:</w:t>
            </w: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760" w:type="dxa"/>
            <w:vAlign w:val="bottom"/>
            <w:vMerge w:val="restart"/>
          </w:tcPr>
          <w:p>
            <w:pPr>
              <w:spacing w:after="0"/>
              <w:rPr>
                <w:sz w:val="24"/>
                <w:szCs w:val="24"/>
                <w:color w:val="auto"/>
              </w:rPr>
            </w:pPr>
          </w:p>
        </w:tc>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As of December 31,</w:t>
            </w: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760" w:type="dxa"/>
            <w:vAlign w:val="bottom"/>
            <w:vMerge w:val="continue"/>
          </w:tcPr>
          <w:p>
            <w:pPr>
              <w:spacing w:after="0"/>
              <w:rPr>
                <w:sz w:val="15"/>
                <w:szCs w:val="15"/>
                <w:color w:val="auto"/>
              </w:rPr>
            </w:pPr>
          </w:p>
        </w:tc>
        <w:tc>
          <w:tcPr>
            <w:tcW w:w="6860" w:type="dxa"/>
            <w:vAlign w:val="bottom"/>
            <w:gridSpan w:val="3"/>
            <w:vMerge w:val="continue"/>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Within one year</w:t>
            </w:r>
          </w:p>
        </w:tc>
        <w:tc>
          <w:tcPr>
            <w:tcW w:w="5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1,742</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minimum lease payments</w:t>
            </w: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11,443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Some property leases contain extension options exercisable by the Company before the end of the non-cancellable contract period. The extension options held are exercisable only by the Company and not by the lessors. The Company assesses at lease commencement date whether it is reasonably certain to exercise the extension options. The Company reassesses whether it is reasonably certain to exercise the options if there is a significant event or significant changes in circumstances within its control. The Company has estimated that the potential future lease payments, should it exercise the extension option, would result in an increase in lease liability of $18.7 million.</w:t>
      </w:r>
    </w:p>
    <w:p>
      <w:pPr>
        <w:spacing w:after="0" w:line="1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During the year ended December 31, 2019, the Group reassessed the anticipated term of its Tide Street lease due to uncertainty as to whether the two extension options provided for in the lease agreement will be exercised. 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type w:val="continuous"/>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was determined that there was sufficient uncertainty as to whether these options would be utilized, resulting in the useful life of the lease being adjusted from 20 years to 10 years. This resulted in a decrease to the lease liability and right of use asset, as well as an increase to the minimum lease payments due within one year and between one and five years.</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During the year ended December 31, 2018, the Group determined that there were certain tenant improvement allowances that were originally classified as a reduction to leasehold improvements rather than as a liability. The Company concluded that the impact of the change of a reclassification from property and equipment to other current and long-term liabilities was not material to the Consolidated Financial Statements presented in the Annual Report of December 31, 2018.</w:t>
      </w:r>
    </w:p>
    <w:p>
      <w:pPr>
        <w:spacing w:after="0" w:line="187" w:lineRule="exact"/>
        <w:rPr>
          <w:sz w:val="20"/>
          <w:szCs w:val="20"/>
          <w:color w:val="auto"/>
        </w:rPr>
      </w:pPr>
    </w:p>
    <w:p>
      <w:pPr>
        <w:jc w:val="both"/>
        <w:ind w:left="120" w:right="800"/>
        <w:spacing w:after="0" w:line="263" w:lineRule="auto"/>
        <w:rPr>
          <w:sz w:val="20"/>
          <w:szCs w:val="20"/>
          <w:color w:val="auto"/>
        </w:rPr>
      </w:pPr>
      <w:r>
        <w:rPr>
          <w:rFonts w:ascii="Arial" w:cs="Arial" w:eastAsia="Arial" w:hAnsi="Arial"/>
          <w:sz w:val="18"/>
          <w:szCs w:val="18"/>
          <w:color w:val="auto"/>
        </w:rPr>
        <w:t>Total rent expense under these leases was approximately $2.5 million and $1.3 million during the years ended December 31, 2018 and 2017, respectively. Rent expense is included in the General and administrative expenses line item in the Consolidated Statements of Comprehensive Income/(Loss).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Capital and Financial Risk Management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financial strategy policy is to support its strategic priorities, maintain investor and creditor confidence and sustain future development of the business through an appropriate mix of debt and equity. Management monitors the level of capital deployed and available for deployment in subsidiary companies. The Directors seek to maintain a balance between the higher returns that might be possible with higher levels of deployed capital and the advantages and security afforded by a sound capital position.</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Group’s Directors have overall responsibility for establishment and oversight of its risk management framework. The Group is exposed to certain risks through its normal course of operations. The Group’s main objective in using financial instruments is to promote the development and commercialization of intellectual property through the raising and investing of funds for this purpose. The Group’s policies in calculating the nature, amount and timing of investments are determined by planned future investment activity. Due to the nature of activities and with the aim to maintain the investors’ funds as secure and protected, the Group’s policy is to hold any excess funds in highly liquid and readily available financial instruments and maintain insignificant exposure to other financial risks.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exposure to the following risks arising from financial instruments:</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Credit risk is the risk of financial loss to the Group if a customer or counterparty to a financial instrument fails to meet its contractual obligations. Financial instruments that potentially subject the Group to concentrations of credit risk consist principally of cash and cash equivalents and trade and other receivables. The Group held the following balances: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180" w:type="dxa"/>
            <w:vAlign w:val="bottom"/>
            <w:vMerge w:val="restart"/>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132,360</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117,051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133,828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at fair value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714,905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169,755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1,977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879,330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421,962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Group invests its excess cash in U.S. Treasury Bills, U.S. debt obligations and money market accounts, which the Group believes are of high credit quality.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Group assesses the credit quality of customers on an ongoing basis, taking into account its financial position, past experience and other factors. The credit quality of financial assets that are neither past due nor impaired can be assessed by reference to credit ratings (if available) or to historical information about counterparty default rates.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aging of trade and other receivables that were not impaired at December 31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680" w:type="dxa"/>
            <w:vAlign w:val="bottom"/>
            <w:vMerge w:val="restart"/>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9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62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Neither past due or impaired</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1,977</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40"/>
        <w:spacing w:after="0" w:line="311" w:lineRule="auto"/>
        <w:rPr>
          <w:sz w:val="20"/>
          <w:szCs w:val="20"/>
          <w:color w:val="auto"/>
        </w:rPr>
      </w:pPr>
      <w:r>
        <w:rPr>
          <w:rFonts w:ascii="Arial" w:cs="Arial" w:eastAsia="Arial" w:hAnsi="Arial"/>
          <w:sz w:val="16"/>
          <w:szCs w:val="16"/>
          <w:color w:val="auto"/>
        </w:rPr>
        <w:t>The Company is also potentially subject to concentrations of credit risk in its accounts receivable. Concentrations of credit risk with respect to receivables is owed to the limited number of companies comprising the Company’s customer base. The Group’s exposure to credit losses is low, however, owing largely to the credit quality of its larger collaborative partners such as Roche, Boehringer Ingelheim and Eli Lilly.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Liquidity risk is the risk that the Group will encounter difficulty in meeting the obligations associated with its financial liabilities that are settled by delivering cash or another financial asset. The Group actively manages its risk of a funds shortage by closely monitoring the maturity of its financial assets and liabilities and projected cash flows from operations, under both normal and stressed conditions, without incurring unacceptable losses or risking damage to the Group’s reputation. Due to the nature of these financial liabilities, the funds are available on demand to provide optimal financial flexibility.</w:t>
      </w:r>
    </w:p>
    <w:p>
      <w:pPr>
        <w:spacing w:after="0" w:line="188"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The table below summarizes the maturity profile of the Group’s financial liabilities, including subsidiary preferred shares that have customary liquidation preferences, as of December 31, 2019 and 2018 based on contractual undiscounted payments: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16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rPr>
              <w:t>Carrying</w:t>
            </w:r>
          </w:p>
        </w:tc>
        <w:tc>
          <w:tcPr>
            <w:tcW w:w="136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rPr>
              <w:t>Within Three</w:t>
            </w:r>
          </w:p>
        </w:tc>
        <w:tc>
          <w:tcPr>
            <w:tcW w:w="150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Three to Twelve</w:t>
            </w:r>
          </w:p>
        </w:tc>
        <w:tc>
          <w:tcPr>
            <w:tcW w:w="1220" w:type="dxa"/>
            <w:vAlign w:val="bottom"/>
            <w:gridSpan w:val="4"/>
          </w:tcPr>
          <w:p>
            <w:pPr>
              <w:jc w:val="right"/>
              <w:ind w:right="520"/>
              <w:spacing w:after="0" w:line="119" w:lineRule="exact"/>
              <w:rPr>
                <w:sz w:val="20"/>
                <w:szCs w:val="20"/>
                <w:color w:val="auto"/>
              </w:rPr>
            </w:pPr>
            <w:r>
              <w:rPr>
                <w:rFonts w:ascii="Arial" w:cs="Arial" w:eastAsia="Arial" w:hAnsi="Arial"/>
                <w:sz w:val="13"/>
                <w:szCs w:val="13"/>
                <w:b w:val="1"/>
                <w:bCs w:val="1"/>
                <w:color w:val="auto"/>
                <w:w w:val="95"/>
              </w:rPr>
              <w:t>One to Five</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3920" w:type="dxa"/>
            <w:vAlign w:val="bottom"/>
            <w:vMerge w:val="restart"/>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2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Years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16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$000s</w:t>
            </w:r>
          </w:p>
        </w:tc>
        <w:tc>
          <w:tcPr>
            <w:tcW w:w="136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$000s</w:t>
            </w:r>
          </w:p>
        </w:tc>
        <w:tc>
          <w:tcPr>
            <w:tcW w:w="220" w:type="dxa"/>
            <w:vAlign w:val="bottom"/>
          </w:tcPr>
          <w:p>
            <w:pPr>
              <w:spacing w:after="0"/>
              <w:rPr>
                <w:sz w:val="15"/>
                <w:szCs w:val="15"/>
                <w:color w:val="auto"/>
              </w:rPr>
            </w:pPr>
          </w:p>
        </w:tc>
        <w:tc>
          <w:tcPr>
            <w:tcW w:w="1280" w:type="dxa"/>
            <w:vAlign w:val="bottom"/>
            <w:gridSpan w:val="3"/>
          </w:tcPr>
          <w:p>
            <w:pPr>
              <w:jc w:val="center"/>
              <w:ind w:right="740"/>
              <w:spacing w:after="0" w:line="158" w:lineRule="exact"/>
              <w:rPr>
                <w:sz w:val="20"/>
                <w:szCs w:val="20"/>
                <w:color w:val="auto"/>
              </w:rPr>
            </w:pPr>
            <w:r>
              <w:rPr>
                <w:rFonts w:ascii="Arial" w:cs="Arial" w:eastAsia="Arial" w:hAnsi="Arial"/>
                <w:sz w:val="14"/>
                <w:szCs w:val="14"/>
                <w:b w:val="1"/>
                <w:bCs w:val="1"/>
                <w:color w:val="auto"/>
                <w:w w:val="87"/>
              </w:rPr>
              <w:t>$000s</w:t>
            </w:r>
          </w:p>
        </w:tc>
        <w:tc>
          <w:tcPr>
            <w:tcW w:w="100" w:type="dxa"/>
            <w:vAlign w:val="bottom"/>
          </w:tcPr>
          <w:p>
            <w:pPr>
              <w:spacing w:after="0"/>
              <w:rPr>
                <w:sz w:val="15"/>
                <w:szCs w:val="15"/>
                <w:color w:val="auto"/>
              </w:rPr>
            </w:pPr>
          </w:p>
        </w:tc>
        <w:tc>
          <w:tcPr>
            <w:tcW w:w="112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$000s</w:t>
            </w:r>
          </w:p>
        </w:tc>
        <w:tc>
          <w:tcPr>
            <w:tcW w:w="7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Subsidiary notes payable</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1,455</w:t>
            </w: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1,455</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Trade and other payables</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19,842</w:t>
            </w:r>
          </w:p>
        </w:tc>
        <w:tc>
          <w:tcPr>
            <w:tcW w:w="4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19,842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19,842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7,997</w:t>
            </w: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7,997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Subsidiary preferred shares (Note 15)</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100,989</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100,989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100,989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130,283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130,283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130,283</w:t>
            </w:r>
          </w:p>
        </w:tc>
        <w:tc>
          <w:tcPr>
            <w:tcW w:w="0" w:type="dxa"/>
            <w:vAlign w:val="bottom"/>
          </w:tcPr>
          <w:p>
            <w:pPr>
              <w:spacing w:after="0"/>
              <w:rPr>
                <w:sz w:val="1"/>
                <w:szCs w:val="1"/>
                <w:color w:val="auto"/>
              </w:rPr>
            </w:pPr>
          </w:p>
        </w:tc>
      </w:tr>
      <w:tr>
        <w:trPr>
          <w:trHeight w:val="398"/>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3"/>
          </w:tcPr>
          <w:p>
            <w:pPr>
              <w:jc w:val="center"/>
              <w:ind w:right="40"/>
              <w:spacing w:after="0" w:line="123" w:lineRule="exact"/>
              <w:rPr>
                <w:sz w:val="20"/>
                <w:szCs w:val="20"/>
                <w:color w:val="auto"/>
              </w:rPr>
            </w:pPr>
            <w:r>
              <w:rPr>
                <w:rFonts w:ascii="Arial" w:cs="Arial" w:eastAsia="Arial" w:hAnsi="Arial"/>
                <w:sz w:val="14"/>
                <w:szCs w:val="14"/>
                <w:color w:val="auto"/>
                <w:w w:val="94"/>
              </w:rPr>
              <w:t>Carrying</w:t>
            </w:r>
          </w:p>
        </w:tc>
        <w:tc>
          <w:tcPr>
            <w:tcW w:w="380" w:type="dxa"/>
            <w:vAlign w:val="bottom"/>
          </w:tcPr>
          <w:p>
            <w:pPr>
              <w:spacing w:after="0"/>
              <w:rPr>
                <w:sz w:val="10"/>
                <w:szCs w:val="10"/>
                <w:color w:val="auto"/>
              </w:rPr>
            </w:pPr>
          </w:p>
        </w:tc>
        <w:tc>
          <w:tcPr>
            <w:tcW w:w="9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8"/>
              </w:rPr>
              <w:t>Within Three</w:t>
            </w:r>
          </w:p>
        </w:tc>
        <w:tc>
          <w:tcPr>
            <w:tcW w:w="220" w:type="dxa"/>
            <w:vAlign w:val="bottom"/>
          </w:tcPr>
          <w:p>
            <w:pPr>
              <w:spacing w:after="0"/>
              <w:rPr>
                <w:sz w:val="10"/>
                <w:szCs w:val="10"/>
                <w:color w:val="auto"/>
              </w:rPr>
            </w:pPr>
          </w:p>
        </w:tc>
        <w:tc>
          <w:tcPr>
            <w:tcW w:w="1280" w:type="dxa"/>
            <w:vAlign w:val="bottom"/>
            <w:gridSpan w:val="3"/>
          </w:tcPr>
          <w:p>
            <w:pPr>
              <w:jc w:val="center"/>
              <w:ind w:right="340"/>
              <w:spacing w:after="0" w:line="123" w:lineRule="exact"/>
              <w:rPr>
                <w:sz w:val="20"/>
                <w:szCs w:val="20"/>
                <w:color w:val="auto"/>
              </w:rPr>
            </w:pPr>
            <w:r>
              <w:rPr>
                <w:rFonts w:ascii="Arial" w:cs="Arial" w:eastAsia="Arial" w:hAnsi="Arial"/>
                <w:sz w:val="14"/>
                <w:szCs w:val="14"/>
                <w:color w:val="auto"/>
                <w:w w:val="93"/>
              </w:rPr>
              <w:t>Three to Twelve</w:t>
            </w:r>
          </w:p>
        </w:tc>
        <w:tc>
          <w:tcPr>
            <w:tcW w:w="100" w:type="dxa"/>
            <w:vAlign w:val="bottom"/>
          </w:tcPr>
          <w:p>
            <w:pPr>
              <w:spacing w:after="0"/>
              <w:rPr>
                <w:sz w:val="10"/>
                <w:szCs w:val="10"/>
                <w:color w:val="auto"/>
              </w:rPr>
            </w:pPr>
          </w:p>
        </w:tc>
        <w:tc>
          <w:tcPr>
            <w:tcW w:w="1120" w:type="dxa"/>
            <w:vAlign w:val="bottom"/>
            <w:gridSpan w:val="3"/>
          </w:tcPr>
          <w:p>
            <w:pPr>
              <w:jc w:val="center"/>
              <w:ind w:right="440"/>
              <w:spacing w:after="0" w:line="123" w:lineRule="exact"/>
              <w:rPr>
                <w:sz w:val="20"/>
                <w:szCs w:val="20"/>
                <w:color w:val="auto"/>
              </w:rPr>
            </w:pPr>
            <w:r>
              <w:rPr>
                <w:rFonts w:ascii="Arial" w:cs="Arial" w:eastAsia="Arial" w:hAnsi="Arial"/>
                <w:sz w:val="14"/>
                <w:szCs w:val="14"/>
                <w:color w:val="auto"/>
                <w:w w:val="93"/>
              </w:rPr>
              <w:t>One to Five</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39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5"/>
              </w:rPr>
              <w:t>Amount</w:t>
            </w:r>
          </w:p>
        </w:tc>
        <w:tc>
          <w:tcPr>
            <w:tcW w:w="38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Months</w:t>
            </w:r>
          </w:p>
        </w:tc>
        <w:tc>
          <w:tcPr>
            <w:tcW w:w="22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1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7"/>
              </w:rPr>
              <w:t>Years</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gridSpan w:val="3"/>
          </w:tcPr>
          <w:p>
            <w:pPr>
              <w:jc w:val="center"/>
              <w:ind w:right="40"/>
              <w:spacing w:after="0" w:line="154" w:lineRule="exact"/>
              <w:rPr>
                <w:sz w:val="20"/>
                <w:szCs w:val="20"/>
                <w:color w:val="auto"/>
              </w:rPr>
            </w:pPr>
            <w:r>
              <w:rPr>
                <w:rFonts w:ascii="Arial" w:cs="Arial" w:eastAsia="Arial" w:hAnsi="Arial"/>
                <w:sz w:val="14"/>
                <w:szCs w:val="14"/>
                <w:color w:val="auto"/>
                <w:w w:val="89"/>
              </w:rPr>
              <w:t>$000s</w:t>
            </w:r>
          </w:p>
        </w:tc>
        <w:tc>
          <w:tcPr>
            <w:tcW w:w="380" w:type="dxa"/>
            <w:vAlign w:val="bottom"/>
          </w:tcPr>
          <w:p>
            <w:pPr>
              <w:spacing w:after="0"/>
              <w:rPr>
                <w:sz w:val="15"/>
                <w:szCs w:val="15"/>
                <w:color w:val="auto"/>
              </w:rPr>
            </w:pPr>
          </w:p>
        </w:tc>
        <w:tc>
          <w:tcPr>
            <w:tcW w:w="980" w:type="dxa"/>
            <w:vAlign w:val="bottom"/>
            <w:gridSpan w:val="3"/>
          </w:tcPr>
          <w:p>
            <w:pPr>
              <w:jc w:val="center"/>
              <w:ind w:right="200"/>
              <w:spacing w:after="0" w:line="154" w:lineRule="exact"/>
              <w:rPr>
                <w:sz w:val="20"/>
                <w:szCs w:val="20"/>
                <w:color w:val="auto"/>
              </w:rPr>
            </w:pPr>
            <w:r>
              <w:rPr>
                <w:rFonts w:ascii="Arial" w:cs="Arial" w:eastAsia="Arial" w:hAnsi="Arial"/>
                <w:sz w:val="14"/>
                <w:szCs w:val="14"/>
                <w:color w:val="auto"/>
                <w:w w:val="89"/>
              </w:rPr>
              <w:t>$000s</w:t>
            </w:r>
          </w:p>
        </w:tc>
        <w:tc>
          <w:tcPr>
            <w:tcW w:w="220" w:type="dxa"/>
            <w:vAlign w:val="bottom"/>
          </w:tcPr>
          <w:p>
            <w:pPr>
              <w:spacing w:after="0"/>
              <w:rPr>
                <w:sz w:val="15"/>
                <w:szCs w:val="15"/>
                <w:color w:val="auto"/>
              </w:rPr>
            </w:pPr>
          </w:p>
        </w:tc>
        <w:tc>
          <w:tcPr>
            <w:tcW w:w="128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94"/>
              </w:rPr>
              <w:t>$000s</w:t>
            </w:r>
          </w:p>
        </w:tc>
        <w:tc>
          <w:tcPr>
            <w:tcW w:w="100" w:type="dxa"/>
            <w:vAlign w:val="bottom"/>
          </w:tcPr>
          <w:p>
            <w:pPr>
              <w:spacing w:after="0"/>
              <w:rPr>
                <w:sz w:val="15"/>
                <w:szCs w:val="15"/>
                <w:color w:val="auto"/>
              </w:rPr>
            </w:pPr>
          </w:p>
        </w:tc>
        <w:tc>
          <w:tcPr>
            <w:tcW w:w="1120" w:type="dxa"/>
            <w:vAlign w:val="bottom"/>
            <w:gridSpan w:val="3"/>
          </w:tcPr>
          <w:p>
            <w:pPr>
              <w:jc w:val="right"/>
              <w:ind w:right="600"/>
              <w:spacing w:after="0" w:line="154" w:lineRule="exact"/>
              <w:rPr>
                <w:sz w:val="20"/>
                <w:szCs w:val="20"/>
                <w:color w:val="auto"/>
              </w:rPr>
            </w:pPr>
            <w:r>
              <w:rPr>
                <w:rFonts w:ascii="Arial" w:cs="Arial" w:eastAsia="Arial" w:hAnsi="Arial"/>
                <w:sz w:val="14"/>
                <w:szCs w:val="14"/>
                <w:color w:val="auto"/>
              </w:rPr>
              <w:t>$000s</w:t>
            </w:r>
          </w:p>
        </w:tc>
        <w:tc>
          <w:tcPr>
            <w:tcW w:w="70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Subsidiary notes payable</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12,010</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12,010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15,875</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15,875</w:t>
            </w:r>
          </w:p>
        </w:tc>
        <w:tc>
          <w:tcPr>
            <w:tcW w:w="220" w:type="dxa"/>
            <w:vAlign w:val="bottom"/>
          </w:tcPr>
          <w:p>
            <w:pPr>
              <w:spacing w:after="0"/>
              <w:rPr>
                <w:sz w:val="18"/>
                <w:szCs w:val="18"/>
                <w:color w:val="auto"/>
              </w:rPr>
            </w:pP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13,012</w:t>
            </w:r>
          </w:p>
        </w:tc>
        <w:tc>
          <w:tcPr>
            <w:tcW w:w="1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13,012</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Subsidiary preferred shares (Note 15)</w:t>
            </w:r>
          </w:p>
        </w:tc>
        <w:tc>
          <w:tcPr>
            <w:tcW w:w="4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217,519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217,519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217,519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258,416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258,416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gridSpan w:val="4"/>
          </w:tcPr>
          <w:p>
            <w:pPr>
              <w:ind w:left="260"/>
              <w:spacing w:after="0"/>
              <w:rPr>
                <w:sz w:val="20"/>
                <w:szCs w:val="20"/>
                <w:color w:val="auto"/>
              </w:rPr>
            </w:pPr>
            <w:r>
              <w:rPr>
                <w:rFonts w:ascii="Arial" w:cs="Arial" w:eastAsia="Arial" w:hAnsi="Arial"/>
                <w:sz w:val="18"/>
                <w:szCs w:val="18"/>
                <w:color w:val="auto"/>
              </w:rPr>
              <w:t>F-68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In addition to the above financial liabilities, the Group is required to spend the following minimum amounts under intellectual property license agreements: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4"/>
                <w:szCs w:val="14"/>
                <w:color w:val="auto"/>
              </w:rPr>
            </w:pPr>
          </w:p>
        </w:tc>
      </w:tr>
      <w:tr>
        <w:trPr>
          <w:trHeight w:val="167"/>
        </w:trPr>
        <w:tc>
          <w:tcPr>
            <w:tcW w:w="728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color w:val="auto"/>
              </w:rPr>
              <w:t>$000s</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$000s</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$000s</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Licenses</w:t>
            </w:r>
          </w:p>
        </w:tc>
        <w:tc>
          <w:tcPr>
            <w:tcW w:w="4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1,366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1,374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1,373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1,366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1,374</w:t>
            </w:r>
          </w:p>
        </w:tc>
        <w:tc>
          <w:tcPr>
            <w:tcW w:w="340" w:type="dxa"/>
            <w:vAlign w:val="bottom"/>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1,373</w:t>
            </w:r>
          </w:p>
        </w:tc>
        <w:tc>
          <w:tcPr>
            <w:tcW w:w="3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Market risk is due to changes in market prices, such as foreign exchange rates, interest rates and equity prices that affect the Group’s income or the value of its financial instrument holdings. The objective of the Group’s market risk management is to manage and control market risk exposures within acceptable parameters, while optimizing its return. The Group maintains the exposure to market risk from such financial instruments to insignificant levels. The Group’s exposure to changes in interest rates has been determined to be insignificant.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Founded Entity Investments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Group maintains investments in certain Controlled Founded Entities. The Group’s investments in Controlled Founded Entities are eliminated as intercompany transactions upon financial consolidation. The Group is however exposed to a preferred share liability owing to the terms of existing preferred shares and the ownership of Controlled Founded Entities preferred shares by third parties. The liability of preferred shares is maintained at fair value through the profit and loss. The Group’s strong cash position, budgeting and forecasting processes, as well as decision making and risk mitigation framework enable the Group to robustly monitor and support the business activities of the Controlled Founded Entities to ensure no exposure to credit losses and ultimately dissolution or liquidation. Accordingly, the Group views exposure to 3rd party preferred share liability as low.</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Non-Controlled Founded Entity Investments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Group maintains certain investments in Non-Controlled Founded Entities which are deemed associates and accounted for under the equity method (please refer to Note 1). The Group’s exposure to investments in associates in limited to the initial carrying amount upon recognition as an Associate. The Group is not exposed to further contractual obligations or contingent liabilities beyond the value of initial investment. As of December 31, 2019, Gelesis was the only associate. The initial carrying amount of the investment in Gelesis as an associate was $16.4 million. Accordingly, the Group views the risk as high.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Price Risk</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have an investment in common shares of Karuna and resTORbio, as described further in Note 5. As of December 31, 2019 the fair value of our investments in resTORbio and Karuna common shares was $3.2 million and $557.2 million, respectively. These investments are exposed to fluctuations in the market price of these common shares. The effect of a 10.0 percent adverse change in the market price of resTORbio and Karuna common shares as of December 31, 2019 would have been a loss of approximately $0.3 million and $55.7 million, respectively, recognized as a component of Other income (expense) in our Consolidated Statements of Comprehensive Income/(Loss).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With respect to Gelesis, prior to deconsolidation, certain grant revenues and the research and development costs associated with those grants are generated and incurred in Euros. As such, the Group’s certain results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operations and cash flows will be subject to fluctuations due to change in foreign currency exchange rates. Foreign currency transaction exposure arising from external trade flows is generally not hedged.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Group is funded by equity and debt financing as well as grant and research collaboration income. Total capital is calculated as Total Equity as shown in the Consolidated Statements of Financial Position.</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Group’s objectives when managing capital are to safeguard its ability to continue as a going concern in order to provide returns for shareholders and benefits for other stakeholders and to maintain an optimal capital structure to reduce the cost of capital. To maintain or adjust the capital structure, the Group may issue new shares or incur new debt. The Group has some external debt and no material externally imposed capital requirements. The Group’s share capital is clearly set out in Note 15.</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discussed in Note 15, certain of the Group’s subsidiaries have issued preferred shares that include the right to receive a payment in the event of any voluntary or involuntary liquidation, dissolution or winding up of a subsidiary, which shall be paid out of the assets of the subsidiary available for distribution to shareholders and before any payment shall be made to holders of ordinary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Commitments and Contingencies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Gelesis is a party to a patent license and assignment agreement whereby it will be required to pay approximately $8.0 million upon the achievement of certain milestones, pay royalties on future sales and/or a percentage of sublicense income. Gelesis accrued $6.6 million as potential expenses under the patent license and assignment agreement for the years ended December 31, 2018 and 2017. During the year ended December 31, 2019 Gelesis was deconsolidated. Therefore, there are no additional contingencies recorded related to Gelesis at December 31, 2019.</w:t>
      </w:r>
    </w:p>
    <w:p>
      <w:pPr>
        <w:spacing w:after="0" w:line="15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Other members of the Group are also parties to certain licensing agreements that require milestone payments and/or royalties on future sales. None of these payments have become due and the amounts of any future milestone or royalty payments cannot be reliably measured as of the date of the financial information.</w:t>
      </w:r>
    </w:p>
    <w:p>
      <w:pPr>
        <w:spacing w:after="0" w:line="288" w:lineRule="exact"/>
        <w:rPr>
          <w:sz w:val="20"/>
          <w:szCs w:val="20"/>
          <w:color w:val="auto"/>
        </w:rPr>
      </w:pPr>
    </w:p>
    <w:p>
      <w:pPr>
        <w:ind w:left="120" w:right="8520" w:hanging="4"/>
        <w:spacing w:after="0" w:line="425" w:lineRule="auto"/>
        <w:tabs>
          <w:tab w:leader="none" w:pos="390"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 Transactions Related Party Subleases</w:t>
      </w:r>
    </w:p>
    <w:p>
      <w:pPr>
        <w:ind w:left="120" w:right="40"/>
        <w:spacing w:after="0" w:line="277" w:lineRule="auto"/>
        <w:rPr>
          <w:sz w:val="20"/>
          <w:szCs w:val="20"/>
          <w:color w:val="auto"/>
        </w:rPr>
      </w:pPr>
      <w:r>
        <w:rPr>
          <w:rFonts w:ascii="Arial" w:cs="Arial" w:eastAsia="Arial" w:hAnsi="Arial"/>
          <w:sz w:val="18"/>
          <w:szCs w:val="18"/>
          <w:color w:val="auto"/>
        </w:rPr>
        <w:t>During 2019, PureTech executed sublease agreements with related parties Gelesis and Dewpoint Therapeutics. Please refer to Note 20 for further details regarding the sublease.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121"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Key management includes executive directors and members of the executive management team of the Group. The key management personnel compensation of the Group was as follows for the years ended December 31:</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7020" w:type="dxa"/>
            <w:vAlign w:val="bottom"/>
            <w:gridSpan w:val="3"/>
            <w:vMerge w:val="restart"/>
          </w:tcPr>
          <w:p>
            <w:pPr>
              <w:spacing w:after="0"/>
              <w:rPr>
                <w:sz w:val="20"/>
                <w:szCs w:val="20"/>
                <w:color w:val="auto"/>
              </w:rPr>
            </w:pPr>
            <w:r>
              <w:rPr>
                <w:rFonts w:ascii="Arial" w:cs="Arial" w:eastAsia="Arial" w:hAnsi="Arial"/>
                <w:sz w:val="14"/>
                <w:szCs w:val="14"/>
                <w:color w:val="auto"/>
              </w:rPr>
              <w:t>As of December 31,</w:t>
            </w: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2018</w:t>
            </w:r>
          </w:p>
        </w:tc>
        <w:tc>
          <w:tcPr>
            <w:tcW w:w="860" w:type="dxa"/>
            <w:vAlign w:val="bottom"/>
            <w:gridSpan w:val="2"/>
          </w:tcPr>
          <w:p>
            <w:pPr>
              <w:jc w:val="right"/>
              <w:ind w:right="55"/>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20" w:type="dxa"/>
            <w:vAlign w:val="bottom"/>
            <w:gridSpan w:val="3"/>
            <w:vMerge w:val="continue"/>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320" w:type="dxa"/>
            <w:vAlign w:val="bottom"/>
          </w:tcPr>
          <w:p>
            <w:pPr>
              <w:spacing w:after="0"/>
              <w:rPr>
                <w:sz w:val="13"/>
                <w:szCs w:val="13"/>
                <w:color w:val="auto"/>
              </w:rPr>
            </w:pPr>
          </w:p>
        </w:tc>
        <w:tc>
          <w:tcPr>
            <w:tcW w:w="500" w:type="dxa"/>
            <w:vAlign w:val="bottom"/>
          </w:tcPr>
          <w:p>
            <w:pPr>
              <w:ind w:left="80"/>
              <w:spacing w:after="0" w:line="158" w:lineRule="exact"/>
              <w:rPr>
                <w:sz w:val="20"/>
                <w:szCs w:val="20"/>
                <w:color w:val="auto"/>
              </w:rPr>
            </w:pPr>
            <w:r>
              <w:rPr>
                <w:rFonts w:ascii="Arial" w:cs="Arial" w:eastAsia="Arial" w:hAnsi="Arial"/>
                <w:sz w:val="14"/>
                <w:szCs w:val="14"/>
                <w:color w:val="auto"/>
              </w:rPr>
              <w:t>$000s</w:t>
            </w:r>
          </w:p>
        </w:tc>
        <w:tc>
          <w:tcPr>
            <w:tcW w:w="320" w:type="dxa"/>
            <w:vAlign w:val="bottom"/>
          </w:tcPr>
          <w:p>
            <w:pPr>
              <w:spacing w:after="0"/>
              <w:rPr>
                <w:sz w:val="13"/>
                <w:szCs w:val="13"/>
                <w:color w:val="auto"/>
              </w:rPr>
            </w:pPr>
          </w:p>
        </w:tc>
        <w:tc>
          <w:tcPr>
            <w:tcW w:w="60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Short-term employee benefits</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5,543</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3,998</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2,774</w:t>
            </w:r>
          </w:p>
        </w:tc>
        <w:tc>
          <w:tcPr>
            <w:tcW w:w="320" w:type="dxa"/>
            <w:vAlign w:val="bottom"/>
          </w:tcPr>
          <w:p>
            <w:pPr>
              <w:spacing w:after="0"/>
              <w:rPr>
                <w:sz w:val="19"/>
                <w:szCs w:val="19"/>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4"/>
              </w:rPr>
              <w:t>3,062</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8,317</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7,060</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Wages and employee benefits include salaries, health care and other non-cash benefits. Share-based payments are generally subject to vesting terms over future periods.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 Issued to Directors</w:t>
      </w:r>
    </w:p>
    <w:p>
      <w:pPr>
        <w:spacing w:after="0" w:line="121"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Certain members of the Group have invested in convertible notes issued by the Group’s subsidiaries. As of December 31, 2019, 2018 and 2017, the outstanding related party notes payable totaled $84 thousand, $79 thousand and $74 thousand, respectively, including principal and interest.</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notes issued to related parties bear interest rates, maturity dates, discounts and other contractual terms that are the same as those issued to outside investors during the same issuances, as described in Note 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Senior Managers’ Shareholdings and Share Incentive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Directors and senior managers hold beneficial interests in shares in the following businesses and sourcing companies as at December 31, 2019:</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shares held</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options held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as of</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color w:val="auto"/>
                <w:w w:val="92"/>
              </w:rPr>
              <w:t>Directors</w:t>
            </w:r>
          </w:p>
        </w:tc>
        <w:tc>
          <w:tcPr>
            <w:tcW w:w="198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4660" w:type="dxa"/>
            <w:vAlign w:val="bottom"/>
            <w:gridSpan w:val="2"/>
            <w:vMerge w:val="restart"/>
          </w:tcPr>
          <w:p>
            <w:pPr>
              <w:ind w:left="1340"/>
              <w:spacing w:after="0"/>
              <w:rPr>
                <w:sz w:val="20"/>
                <w:szCs w:val="20"/>
                <w:color w:val="auto"/>
              </w:rPr>
            </w:pPr>
            <w:r>
              <w:rPr>
                <w:rFonts w:ascii="Arial" w:cs="Arial" w:eastAsia="Arial" w:hAnsi="Arial"/>
                <w:sz w:val="14"/>
                <w:szCs w:val="14"/>
                <w:color w:val="auto"/>
              </w:rPr>
              <w:t>Business Name (Share Class)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3"/>
                <w:szCs w:val="13"/>
                <w:color w:val="auto"/>
              </w:rPr>
            </w:pPr>
          </w:p>
        </w:tc>
        <w:tc>
          <w:tcPr>
            <w:tcW w:w="9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Interest¹</w:t>
            </w:r>
          </w:p>
        </w:tc>
        <w:tc>
          <w:tcPr>
            <w:tcW w:w="0" w:type="dxa"/>
            <w:vAlign w:val="bottom"/>
          </w:tcPr>
          <w:p>
            <w:pPr>
              <w:spacing w:after="0"/>
              <w:rPr>
                <w:sz w:val="1"/>
                <w:szCs w:val="1"/>
                <w:color w:val="auto"/>
              </w:rPr>
            </w:pPr>
          </w:p>
        </w:tc>
      </w:tr>
      <w:tr>
        <w:trPr>
          <w:trHeight w:val="20"/>
        </w:trPr>
        <w:tc>
          <w:tcPr>
            <w:tcW w:w="2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Ms Daphne Zohar²</w:t>
            </w:r>
          </w:p>
        </w:tc>
        <w:tc>
          <w:tcPr>
            <w:tcW w:w="540" w:type="dxa"/>
            <w:vAlign w:val="bottom"/>
            <w:vMerge w:val="restart"/>
            <w:shd w:val="clear" w:color="auto" w:fill="CCEEFF"/>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4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Gelesis (Common)</w:t>
            </w:r>
          </w:p>
        </w:tc>
        <w:tc>
          <w:tcPr>
            <w:tcW w:w="30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59,443</w:t>
            </w:r>
          </w:p>
        </w:tc>
        <w:tc>
          <w:tcPr>
            <w:tcW w:w="34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939,086</w:t>
            </w:r>
          </w:p>
        </w:tc>
        <w:tc>
          <w:tcPr>
            <w:tcW w:w="3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Dame Marjorie Scardino</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Bennett Shapiro</w:t>
            </w: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Akili (Series A-2 Preferred)³</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33,088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Gelesis (Common)</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24,009</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10,840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Gelesis (Series A-1 Preferred)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23,418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Vedanta Biosciences (Common)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25,000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Vedanta Biosciences (Series B Preferred)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11,202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Robert Langer</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Entrega (Common)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332,500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Alivio (Common)</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1,575,000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Raju Kucherlapati</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Enlight (Class B Common)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30,000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Gelesis (Common)</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20,000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John LaMattina</w:t>
            </w:r>
            <w:r>
              <w:rPr>
                <w:rFonts w:ascii="Arial" w:cs="Arial" w:eastAsia="Arial" w:hAnsi="Arial"/>
                <w:sz w:val="15"/>
                <w:szCs w:val="15"/>
                <w:color w:val="auto"/>
              </w:rPr>
              <w:t>4</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Akili (Series A-2 Preferred)</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37,372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4</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117,169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5</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Gelesis (Series A-1 Preferred)</w:t>
            </w:r>
            <w:r>
              <w:rPr>
                <w:rFonts w:ascii="Arial" w:cs="Arial" w:eastAsia="Arial" w:hAnsi="Arial"/>
                <w:sz w:val="15"/>
                <w:szCs w:val="15"/>
                <w:color w:val="auto"/>
              </w:rPr>
              <w:t>4</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49,524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Vedanta Biosciences (Common)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25,000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Christopher Viehbacher</w:t>
            </w: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color w:val="auto"/>
              </w:rPr>
              <w:t>Mr Stephen Muniz</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5</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Managers:</w:t>
            </w:r>
          </w:p>
        </w:tc>
        <w:tc>
          <w:tcPr>
            <w:tcW w:w="5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Eric Elenko</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Joep Muijrers</w:t>
            </w: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Bharatt Chowrira</w:t>
            </w:r>
          </w:p>
        </w:tc>
        <w:tc>
          <w:tcPr>
            <w:tcW w:w="5200" w:type="dxa"/>
            <w:vAlign w:val="bottom"/>
            <w:gridSpan w:val="3"/>
          </w:tcPr>
          <w:p>
            <w:pPr>
              <w:ind w:left="540"/>
              <w:spacing w:after="0"/>
              <w:rPr>
                <w:sz w:val="20"/>
                <w:szCs w:val="20"/>
                <w:color w:val="auto"/>
              </w:rPr>
            </w:pPr>
            <w:r>
              <w:rPr>
                <w:rFonts w:ascii="Arial" w:cs="Arial" w:eastAsia="Arial" w:hAnsi="Arial"/>
                <w:sz w:val="18"/>
                <w:szCs w:val="18"/>
                <w:color w:val="auto"/>
              </w:rPr>
              <w:t>Karuna (Common)</w:t>
            </w:r>
            <w:r>
              <w:rPr>
                <w:rFonts w:ascii="Arial" w:cs="Arial" w:eastAsia="Arial" w:hAnsi="Arial"/>
                <w:sz w:val="15"/>
                <w:szCs w:val="15"/>
                <w:color w:val="auto"/>
              </w:rPr>
              <w:t>5</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10,000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0.04%</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Joseph Bolen</w:t>
            </w:r>
          </w:p>
        </w:tc>
        <w:tc>
          <w:tcPr>
            <w:tcW w:w="5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Vor (Common)</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125,000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5" w:lineRule="auto"/>
        <w:tabs>
          <w:tab w:leader="none" w:pos="54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Ownership interests as of December 31, 2019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spacing w:after="0" w:line="2" w:lineRule="exact"/>
        <w:rPr>
          <w:rFonts w:ascii="Arial" w:cs="Arial" w:eastAsia="Arial" w:hAnsi="Arial"/>
          <w:sz w:val="15"/>
          <w:szCs w:val="15"/>
          <w:color w:val="auto"/>
        </w:rPr>
      </w:pPr>
    </w:p>
    <w:p>
      <w:pPr>
        <w:ind w:left="540" w:right="460" w:hanging="424"/>
        <w:spacing w:after="0" w:line="250" w:lineRule="auto"/>
        <w:tabs>
          <w:tab w:leader="none" w:pos="54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Common shares and options held by Yishai Zohar, who is the husband of Ms. Zohar. Ms. Zohar does not have any direct interest in the share capital of Gelesis. Ms Zohar recuses herself from any and all material decisions with regard to Gelesis.</w:t>
      </w:r>
    </w:p>
    <w:p>
      <w:pPr>
        <w:ind w:left="540" w:hanging="424"/>
        <w:spacing w:after="0"/>
        <w:tabs>
          <w:tab w:leader="none" w:pos="54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Shares held through Dr Bennett Shapiro and Ms Fredericka F. Shapiro, Joint Tenants with Right of Survivorship.</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91" w:lineRule="auto"/>
        <w:tabs>
          <w:tab w:leader="none" w:pos="540" w:val="left"/>
        </w:tabs>
        <w:numPr>
          <w:ilvl w:val="0"/>
          <w:numId w:val="225"/>
        </w:numPr>
        <w:rPr>
          <w:rFonts w:ascii="Arial" w:cs="Arial" w:eastAsia="Arial" w:hAnsi="Arial"/>
          <w:sz w:val="13"/>
          <w:szCs w:val="13"/>
          <w:color w:val="auto"/>
        </w:rPr>
      </w:pPr>
      <w:r>
        <w:rPr>
          <w:rFonts w:ascii="Arial" w:cs="Arial" w:eastAsia="Arial" w:hAnsi="Arial"/>
          <w:sz w:val="16"/>
          <w:szCs w:val="16"/>
          <w:color w:val="auto"/>
        </w:rPr>
        <w:t>Dr John and Ms Mary LaMattina hold 49,523 shares of common shares and 49,524 shares of Series A-1 preferred shares in Gelesis. Individually, Dr LaMattina holds 12,642 shares of Gelesis and convertible notes issued by Appeering in the aggregate principal amount of $50,000.</w:t>
      </w:r>
    </w:p>
    <w:p>
      <w:pPr>
        <w:ind w:left="540" w:right="500" w:hanging="424"/>
        <w:spacing w:after="0" w:line="260" w:lineRule="auto"/>
        <w:tabs>
          <w:tab w:leader="none" w:pos="540" w:val="left"/>
        </w:tabs>
        <w:numPr>
          <w:ilvl w:val="0"/>
          <w:numId w:val="225"/>
        </w:numPr>
        <w:rPr>
          <w:rFonts w:ascii="Arial" w:cs="Arial" w:eastAsia="Arial" w:hAnsi="Arial"/>
          <w:sz w:val="15"/>
          <w:szCs w:val="15"/>
          <w:color w:val="auto"/>
        </w:rPr>
      </w:pPr>
      <w:r>
        <w:rPr>
          <w:rFonts w:ascii="Arial" w:cs="Arial" w:eastAsia="Arial" w:hAnsi="Arial"/>
          <w:sz w:val="18"/>
          <w:szCs w:val="18"/>
          <w:color w:val="auto"/>
        </w:rPr>
        <w:t>Options to purchase the listed shares were granted in connection with the service on such founded entity’s Board of Directors and any value realized therefrom shall be assigned to PureTech Health LLC.</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Directors and senior managers hold 29,939,913 ordinary shares and 10.5 percent voting rights of the Company as of December 31, 2019. This amount excludes options to purchase 2,909,344 ordinary shares. This amount also excludes 8,374,351 shares, which are issuable contingent to the terms of performance based RSU awards granted to certain senior managers covering the financial years 2019, 2018 and 2017. Such shares will be issued to such senior managers in future periods provided that performance conditions are met and certain of the shares will be withheld for payment of customary withholding taxes.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Taxation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Tax on the profit or loss for the year comprises current and deferred income tax. Tax is recognized in the Consolidated Statements or Comprehensive Income/(Loss) except to the extent that it relates to items recognized directly in equity.</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the years ended December 31, 2019, 2018 and 2017, the Group filed a consolidated U.S. federal income tax return which included all subsidiaries in which the Company owned greater than 80% of the vote and value. For the years ended December 31, 2019, 2018 and 2017, the Group filed certain consolidated state income tax returns which included all subsidiaries in which the Company owned greater than 50% of the vote and value. The remaining subsidiaries file separate U.S. tax returns.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Current income tax is the expected tax payable or receivable on the taxable income or loss for the year, using tax rates enacted or substantially enacted at the reporting date, and any adjustment to tax payable in respect of previous years.</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are reviewed at each reporting date and are reduced to the extent that it is no longer probable that the related tax benefit will be realized.</w:t>
      </w:r>
    </w:p>
    <w:p>
      <w:pPr>
        <w:spacing w:after="0" w:line="17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Deferred tax is measured at the tax rates that are expected to be applied to temporary differences when they reverse, using tax rates enacted or substantively enacted at the reporting date.</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Deferred taxes are recognized in Consolidated Statements of Comprehensive Income/(Loss) except to the extent that they relate to items recognized directly in equity or in other comprehensive income.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recognized in Consolidated Statements of Comprehensive Income/(Loss):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1900" w:type="dxa"/>
            <w:vAlign w:val="bottom"/>
            <w:vMerge w:val="restart"/>
          </w:tcPr>
          <w:p>
            <w:pPr>
              <w:spacing w:after="0"/>
              <w:rPr>
                <w:sz w:val="14"/>
                <w:szCs w:val="14"/>
                <w:color w:val="auto"/>
              </w:rPr>
            </w:pPr>
          </w:p>
        </w:tc>
        <w:tc>
          <w:tcPr>
            <w:tcW w:w="31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10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7"/>
              </w:rPr>
              <w:t>$000s</w:t>
            </w:r>
          </w:p>
        </w:tc>
        <w:tc>
          <w:tcPr>
            <w:tcW w:w="1040" w:type="dxa"/>
            <w:vAlign w:val="bottom"/>
            <w:gridSpan w:val="2"/>
          </w:tcPr>
          <w:p>
            <w:pPr>
              <w:jc w:val="center"/>
              <w:ind w:right="380"/>
              <w:spacing w:after="0" w:line="158" w:lineRule="exact"/>
              <w:rPr>
                <w:sz w:val="20"/>
                <w:szCs w:val="20"/>
                <w:color w:val="auto"/>
              </w:rPr>
            </w:pPr>
            <w:r>
              <w:rPr>
                <w:rFonts w:ascii="Arial" w:cs="Arial" w:eastAsia="Arial" w:hAnsi="Arial"/>
                <w:sz w:val="14"/>
                <w:szCs w:val="14"/>
                <w:color w:val="auto"/>
                <w:w w:val="89"/>
              </w:rPr>
              <w:t>$000s</w:t>
            </w: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Income/(loss) for the year</w:t>
            </w:r>
          </w:p>
        </w:tc>
        <w:tc>
          <w:tcPr>
            <w:tcW w:w="2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366,065</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(70,659)</w:t>
            </w: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(75,094)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Income tax expense/(benefit)</w:t>
            </w:r>
          </w:p>
        </w:tc>
        <w:tc>
          <w:tcPr>
            <w:tcW w:w="24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112,409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2,221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Income/(loss) before taxes</w:t>
            </w:r>
          </w:p>
        </w:tc>
        <w:tc>
          <w:tcPr>
            <w:tcW w:w="2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478,474</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(68,438)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(70,711)</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40" w:type="dxa"/>
            <w:vAlign w:val="bottom"/>
          </w:tcPr>
          <w:p>
            <w:pPr>
              <w:ind w:left="960"/>
              <w:spacing w:after="0"/>
              <w:rPr>
                <w:sz w:val="20"/>
                <w:szCs w:val="20"/>
                <w:color w:val="auto"/>
              </w:rPr>
            </w:pPr>
            <w:r>
              <w:rPr>
                <w:rFonts w:ascii="Arial" w:cs="Arial" w:eastAsia="Arial" w:hAnsi="Arial"/>
                <w:sz w:val="18"/>
                <w:szCs w:val="18"/>
                <w:color w:val="auto"/>
              </w:rPr>
              <w:t>F-72</w:t>
            </w: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Recognized income tax expense/(benefit):</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740" w:type="dxa"/>
            <w:vAlign w:val="bottom"/>
            <w:gridSpan w:val="3"/>
            <w:vMerge w:val="restart"/>
          </w:tcPr>
          <w:p>
            <w:pPr>
              <w:spacing w:after="0"/>
              <w:rPr>
                <w:sz w:val="20"/>
                <w:szCs w:val="20"/>
                <w:color w:val="auto"/>
              </w:rPr>
            </w:pPr>
            <w:r>
              <w:rPr>
                <w:rFonts w:ascii="Arial" w:cs="Arial" w:eastAsia="Arial" w:hAnsi="Arial"/>
                <w:sz w:val="14"/>
                <w:szCs w:val="14"/>
                <w:color w:val="auto"/>
              </w:rPr>
              <w:t>As of December 31,</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tcPr>
          <w:p>
            <w:pPr>
              <w:jc w:val="right"/>
              <w:ind w:right="13"/>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740" w:type="dxa"/>
            <w:vAlign w:val="bottom"/>
            <w:gridSpan w:val="3"/>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$000s</w:t>
            </w:r>
          </w:p>
        </w:tc>
        <w:tc>
          <w:tcPr>
            <w:tcW w:w="300" w:type="dxa"/>
            <w:vAlign w:val="bottom"/>
          </w:tcPr>
          <w:p>
            <w:pPr>
              <w:spacing w:after="0"/>
              <w:rPr>
                <w:sz w:val="15"/>
                <w:szCs w:val="15"/>
                <w:color w:val="auto"/>
              </w:rPr>
            </w:pPr>
          </w:p>
        </w:tc>
        <w:tc>
          <w:tcPr>
            <w:tcW w:w="880" w:type="dxa"/>
            <w:vAlign w:val="bottom"/>
            <w:gridSpan w:val="2"/>
          </w:tcPr>
          <w:p>
            <w:pPr>
              <w:jc w:val="center"/>
              <w:ind w:right="380"/>
              <w:spacing w:after="0" w:line="158" w:lineRule="exact"/>
              <w:rPr>
                <w:sz w:val="20"/>
                <w:szCs w:val="20"/>
                <w:color w:val="auto"/>
              </w:rPr>
            </w:pPr>
            <w:r>
              <w:rPr>
                <w:rFonts w:ascii="Arial" w:cs="Arial" w:eastAsia="Arial" w:hAnsi="Arial"/>
                <w:sz w:val="14"/>
                <w:szCs w:val="14"/>
                <w:color w:val="auto"/>
                <w:w w:val="89"/>
              </w:rPr>
              <w:t>$000s</w:t>
            </w: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Federal</w:t>
            </w:r>
          </w:p>
        </w:tc>
        <w:tc>
          <w:tcPr>
            <w:tcW w:w="5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Total current income tax expense/(benefit)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3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(311)</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28,633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Total deferred income tax expense/(benefit)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112,409</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3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expense/(benefit), recognized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112,409</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tax expense of $112.4 million, $2.2 million and $4.4 million in 2019, 2018 and 2017, respectively, is primarily the result of the establishment of a deferred tax liability for unrealized gains pertaining to our investments in Karuna, Vor, AZ Therapies, and Gelesis, and the remeasurement of existing deferred tax liabilities for unrealized gains pertaining to our investments in resTORbio and Akili.</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Effective Tax Rate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is primarily subject to taxation in the U.S. A reconciliation of the U.S. federal statutory tax rate to the effective tax rate is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100" w:type="dxa"/>
            <w:vAlign w:val="bottom"/>
            <w:vMerge w:val="restart"/>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8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$000s</w:t>
            </w:r>
          </w:p>
        </w:tc>
        <w:tc>
          <w:tcPr>
            <w:tcW w:w="48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$000s</w:t>
            </w:r>
          </w:p>
        </w:tc>
        <w:tc>
          <w:tcPr>
            <w:tcW w:w="540" w:type="dxa"/>
            <w:vAlign w:val="bottom"/>
          </w:tcPr>
          <w:p>
            <w:pPr>
              <w:jc w:val="right"/>
              <w:ind w:right="111"/>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$000s</w:t>
            </w:r>
          </w:p>
        </w:tc>
        <w:tc>
          <w:tcPr>
            <w:tcW w:w="580" w:type="dxa"/>
            <w:vAlign w:val="bottom"/>
          </w:tcPr>
          <w:p>
            <w:pPr>
              <w:jc w:val="right"/>
              <w:ind w:right="151"/>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statutory rate</w:t>
            </w:r>
          </w:p>
        </w:tc>
        <w:tc>
          <w:tcPr>
            <w:tcW w:w="6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b w:val="1"/>
                <w:bCs w:val="1"/>
                <w:color w:val="auto"/>
                <w:w w:val="83"/>
              </w:rPr>
              <w:t>97,183</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21.00</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(14,372)</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(24,042)</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Effects of state tax rate in U.S.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(3,267)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 and orphan drug tax credits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Share-based payment measurement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3,429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2,531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adjustments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0.80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Accretion on preferred shares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3,231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Deconsolidation adjustments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(13,658)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Mark-to-market investment in subsidiary</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24,070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change</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Tax reform—foreign earnings repatriation</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of partnerships not subject to tax</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Recognition of deferred tax assets not previously recognized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(6,251)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 losses for which no deferred tax asset is recognized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14,514</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112,410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Group is also subject to taxation in the UK and exposed to state taxation in certain jurisdictions within the U.S. Changes in corporate tax rates can change both the current tax expense (benefit) as well as the deferred tax expense (benefit).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 Assets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taxes have been recognized in the U.S. jurisdiction in respect of the following items: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2"/>
              </w:rPr>
              <w:t>As of December 31,</w:t>
            </w:r>
          </w:p>
        </w:tc>
        <w:tc>
          <w:tcPr>
            <w:tcW w:w="5260" w:type="dxa"/>
            <w:vAlign w:val="bottom"/>
            <w:vMerge w:val="restart"/>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112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$000s</w:t>
            </w: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tax losses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68,690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69,170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Capital loss carryovers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2,292</w:t>
            </w: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9,931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9,711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1,125</w:t>
            </w: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10,339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104,205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93,002</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(173,069)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(6,115)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Other temporary differences</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(3,225)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(33,412)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(182,409)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(33,412)</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Deferred tax liabilities, net, recognized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115,445</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 recognized</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Deferred tax assets, net, not recognized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37,099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We have recognized deferred tax assets related to entities in the U.S. Federal and Massachusetts consolidated return groups due to future reversals of existing taxable temporary differences that will be sufficient to recover the net deferred tax assets. Our remaining deferred tax assets have not been recognized because it is not probable that future taxable profits will be available to support their realizability.</w:t>
      </w:r>
    </w:p>
    <w:p>
      <w:pPr>
        <w:spacing w:after="0" w:line="16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There was movement in deferred tax recognized which impacted income tax expense of approximately $112.4 million, primarily related to the unrealized gains pertaining to our investments in resTORbio, Akili, Karuna, Vor, AZ Therapies, and Gelesis. The deferred tax liability related to the unrealized gains on these investments exceeds our available U.S. federal and state deferred tax assets.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had U.S. federal net operating losses carry forwards (“NOLs”) of approximately $243.0 million, $238.1 million and $203.1 million as of December 31, 2019, 2018 and 2017, respectively, which are available to offset future taxable income. These NOLs expire through 2037 with the exception of $126.6 million which is not subject to expiration. The Company had U.S. Federal research and development tax credits of approximately $7.4 million, $6.7 million and $4.4 million as of December 31, 2019, 2018 and 2017, respectively, which are available to offset future taxes that expire at various dates through 2039. The Company also had Federal Orphan Drug credits of approximately $3.7 million as of December 31, 2019, which are available to offset future taxes that expire at various dates through 2039. These NOLs and credits are subject to review and possible adjustment by the Internal Revenue Service.</w:t>
      </w:r>
    </w:p>
    <w:p>
      <w:pPr>
        <w:spacing w:after="0" w:line="19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had Massachusetts net operating losses carry forwards (“NOLs”) of approximately $273.0 million, $179.5 million and $116.1 million as of December 31, 2019, 2018 and 2017, respectively, which are available to offset future taxable income. These NOLs expire at various dates beginning in 2024. The Company had Massachusetts research and development tax credits of approximately $1.6 million, $1.3 million and $0.4 million as of December 31, 2019 2018 and 2017, respectively, which are available to offset future taxes and expire at various dates through 2034. These NOLs and credits are subject to review and possible adjustment by the Massachusetts Department of Revenue.</w:t>
      </w:r>
    </w:p>
    <w:p>
      <w:pPr>
        <w:spacing w:after="0" w:line="1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Utilization of the NOLs and research and development credit carryforwards may be subject to a substantial annual limitation under Section 382 of the Internal Revenue Code of 1986 due to ownership change limitations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20"/>
          </w:cols>
          <w:pgMar w:left="320" w:top="459" w:right="5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that have occurred previously or that could occur in the future. These ownership changes may limit the amount of NOL and research and development credit carryforwards that can be utilized annually to offset future taxable income and tax, respectively. The Company notes that a 382 analysis was performed through December 31, 2019. The results of this analysis concluded that certain net operating losses were subject to limitation under Section 382 of the Internal Revenue Code. None of the Company’s tax attributes which are subject to a restrictive Section 382 limitation have been recognized in the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to uncertain tax positions from January 1, 2018 through December 31, 2019 are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U.S.</w:t>
            </w:r>
          </w:p>
        </w:tc>
        <w:tc>
          <w:tcPr>
            <w:tcW w:w="5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w w:val="92"/>
              </w:rPr>
              <w:t>Foreign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c>
          <w:tcPr>
            <w:tcW w:w="50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color w:val="auto"/>
                <w:w w:val="99"/>
              </w:rPr>
              <w:t>$000s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 xml:space="preserve">Total </w:t>
            </w:r>
            <w:r>
              <w:rPr>
                <w:rFonts w:ascii="Arial" w:cs="Arial" w:eastAsia="Arial" w:hAnsi="Arial"/>
                <w:sz w:val="14"/>
                <w:szCs w:val="14"/>
                <w:u w:val="single" w:color="auto"/>
                <w:color w:val="auto"/>
                <w:w w:val="90"/>
              </w:rPr>
              <w:t>$</w:t>
            </w:r>
            <w:r>
              <w:rPr>
                <w:rFonts w:ascii="Arial" w:cs="Arial" w:eastAsia="Arial" w:hAnsi="Arial"/>
                <w:sz w:val="14"/>
                <w:szCs w:val="14"/>
                <w:color w:val="auto"/>
                <w:w w:val="90"/>
              </w:rPr>
              <w:t>000s</w:t>
            </w:r>
          </w:p>
        </w:tc>
      </w:tr>
      <w:tr>
        <w:trPr>
          <w:trHeight w:val="209"/>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tax liabilities as of January 1, 2018</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Additions based on tax provisions related to the current year</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Additions to tax positions of prior years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Reductions due to settlements with tax authorities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positions of prior years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Gross tax liabilities as of December 31, 2018</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provisions related to the current year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Additions to tax positions of prior years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settlements with tax authorities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Reductions for positions of prior years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tax liabilities as of December 31, 2019</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U.S. corporations are routinely subject to audit by federal and state tax authorities in the normal course of business. During 2019, the IRS completed an audit of Vedanta for the financial year ended December 31, 2016 with no impact to the Group’s financial condition, results of operations, or cash flows.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Sale of Assets</w:t>
      </w:r>
    </w:p>
    <w:p>
      <w:pPr>
        <w:spacing w:after="0" w:line="121"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In February 2018, The Sync Project, Inc. (“Sync”) entered into an asset purchase agreement with Bose Corporation for the sale of certain assets and liabilities. The total aggregate purchase price was $4.5 million, consisting of approximately $4.0 million paid at closing and $0.5 million in cash deposited into escrow to be held for 12 months in order to secure the indemnification obligations of Sync after the closing date.</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PureTech Health derecognized certain assets and liabilities based on their historical costs. The excess of the consideration transferred over the historical costs of the assets and liabilities resulted in a gain of approximately $4.0 million , which was recorded to the line item “Gain on sale of assets” on the accompanying Consolidated Statements Comprehensive Income/ (Loss) for the year ended December 31, 2018.</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Additionally, as part of the derecognition, the Company and certain preferred shareholders received a cash distribution of approximately $3.3 million during the year ended December 31, 2018. During the year ended December 31, 2019, certain preferred shareholders received further cash distributions of $0.1 million. As of December 31, 2019, no remaining third party obligations remained.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Tal Merger Agreement</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During the year ended December 31, 2018, Tal Medical, Inc. (“Tal”) a subsidiary of the Group entered into an option agreement with a third party, through which the third party was given the option to acquire substantially all of Tal’s assets. The option was contingent on the third party raising gross proceeds of $15 million prior to January 1, 2019 (the option expiration date). Upon the expiration of the option all external investors, not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40"/>
          </w:cols>
          <w:pgMar w:left="320" w:top="459" w:right="5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including PureTech, would be entitled to a distribution equal to the cash on hand on the date of expiration, and Tal’s operations would wind down. As of December 31, 2018, the minimum gross proceeds were not raised, resulting in the option expiring. As a result, the preferred shares were adjusted to the cash distribution the external investors were entitled to, which totaled $0.1 million, resulting in gain of $11 million being recognized in Finance income/(costs)—fair value accounting line of the Consolidated Statements of Comprehensive Income/(Loss) for the year ended December 31, 2018. In 2019 a merger was executed between PureTech and Tal wherein PureTech became the sole shareholder of Tal following the liquidation of all assets. In 2019, certain preferred shareholders received distributions of $0.1 million in connection with the merger. As of December 31, 2019 Tal was an inactive entity in the Group’s Parent segment.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Subsequent Events</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Company has evaluated subsequent events after December 31, 2019, the date of issuance of the Consolidated Financial Statements, and has not identified any recordable or disclosable events not otherwise reported in these consolidated financial statements or notes thereto, except for the following:</w:t>
      </w:r>
    </w:p>
    <w:p>
      <w:pPr>
        <w:spacing w:after="0" w:line="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January 6, 2020, Sonde effected the second tranche closing of its Series A-2 preferred share financing which initially closed on April 4, 2019. The Company received an aggregate of $4.8 million in gross proceeds in the second tranche closing.</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January 22, 2020, PureTech Health sold 2,100,000 common shares of Karuna for aggregate proceeds of $200.9 million. As of March 13, 2020, PureTech Health held 5,295,397 common shares, or 20.3 percent, of Karuna.</w:t>
      </w:r>
    </w:p>
    <w:p>
      <w:pPr>
        <w:spacing w:after="0" w:line="170"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On February 5, 2020, PureTech Health participated in the second closing of Vor’s Series A-2 preferred share financing which initially closed on February 12, 2019. PureTech’s participation totaled $0.7 million. Proceeds for the second closing totaled $17.8 million.</w:t>
      </w:r>
    </w:p>
    <w:p>
      <w:pPr>
        <w:spacing w:after="0" w:line="14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March 2020, the World Health Organization declared the outbreak of a new Coronavirus, now known as COVID-19, a pandemic. The outbreak of the virus has caused material disruptions to the global economy, including its health care system. Since the future course and duration of the COVID-19 outbreak are unknown, the Company is currently unable to determine whether the outbreak will have a negative effect on the Company’s results in 2020. To date, the Company has seen limited impact on its research and development activities and the operation of the Company more generally. If the pandemic continues to extended for a period of time such as six months, the Company would potentially have milestones delayed; however the Company has sufficient capital to absorb any potential delays and continue operations in line with its going concern statement set forth in Note 1.</w:t>
      </w:r>
    </w:p>
    <w:p>
      <w:pPr>
        <w:spacing w:after="0" w:line="164"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On April 1, 2020, PureTech Health participated in the second closing of Gelesis’ Series 3 Growth preferred share financing which initially closed on December 5, 2019. PureTech’s participation totaled $10.0 million. Proceeds for the second closing totaled $14.1 million.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2020, PureTech sold its remaining 2,119,696 resTORbio common shares, for aggregate proceeds of $3.0 million.</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April 2020, Vedanta issued and sold shares of Series C-2 preferred shares for aggregate proceeds of $6.5 million, of which none was contributed by PureTech.</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May 26, 2020, PureTech sold 555,500 Karuna common shares for aggregate proceeds of $45.0 million.</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On June 30, 2020, PureTech participated in the 1st closing of Vor’s Series B Preferred Share financing. For consideration of $0.5 million, PureTech received 961,538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July 10, 2020, pursuant to its collaboration agreement with JSR Corporation, Vedanta issued 107,389 Series C-2 Preferred shares for $2.5 million in aggregate proceeds.</w:t>
      </w:r>
    </w:p>
    <w:p>
      <w:pPr>
        <w:spacing w:after="0" w:line="170"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On August 26, 2020, PureTech sold 1,333,333 common shares of Karuna for aggregate proceeds of $101.6 million. Immediately subsequent to the disposal, PureTech continued to hold 3,406,564 common shares or 12.8 percent of total outstanding shares of Karuna.</w:t>
      </w:r>
    </w:p>
    <w:p>
      <w:pPr>
        <w:spacing w:after="0" w:line="14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September 2, 2020, Vedanta entered into a $15.0 million loan and security agreement with Oxford Finance LLC. The loan is secured by Vedanta’s assets, including equipment, inventory and intellectual property. The loan bears a floating interest rate of 7.73% plus the greater of (i) 30 day U.S. Dollar LIBOR reported in the Wall Street Journal or (ii) 0.17%. The loan matures September 2025 and requires interest only payments for the initial 24 months. For loan consideration, Vedanta also issued Oxford Finance LLC 12,886 Series C-2 preferred share warrants with an exercise price of $23.28 per share, expiring September 2030.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Comprehensive Income/(Loss)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Six Months Ended June 30</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71"/>
        </w:trPr>
        <w:tc>
          <w:tcPr>
            <w:tcW w:w="86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Note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$000s</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Restated *</w:t>
            </w:r>
          </w:p>
        </w:tc>
        <w:tc>
          <w:tcPr>
            <w:tcW w:w="0" w:type="dxa"/>
            <w:vAlign w:val="bottom"/>
          </w:tcPr>
          <w:p>
            <w:pPr>
              <w:spacing w:after="0"/>
              <w:rPr>
                <w:sz w:val="1"/>
                <w:szCs w:val="1"/>
                <w:color w:val="auto"/>
              </w:rPr>
            </w:pPr>
          </w:p>
        </w:tc>
      </w:tr>
      <w:tr>
        <w:trPr>
          <w:trHeight w:val="209"/>
        </w:trPr>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Grant revenue</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(21,376)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(29,196)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(38,250)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(45,507)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(52,782)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(70,317)</w:t>
            </w: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deconsolidation</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108,395</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Gain/(loss) on investments held at fair value</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276,910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52,375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realized on sale of investments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(44,539)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160,729</w:t>
            </w: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Finance income/(costs):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1,032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Finance income/(costs)—contractual</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income/(costs)—fair value accounting</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1,866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(32,978)</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Finance income/(costs)—subsidiary preferred shares</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income/(costs)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(34,126)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Share of net gain/(loss) of associates accounted for using the equity method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(7,271)</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taxes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174,483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56,287</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Taxation</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123,708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are or may be reclassified as profit or 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Foreign currency translation differences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123,708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31,063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attributable to:</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123,957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73,506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income/(loss) attributable to:</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123,957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73,424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0.43</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0.42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condensed consolidated interim financial statements.</w:t>
      </w:r>
    </w:p>
    <w:p>
      <w:pPr>
        <w:spacing w:after="0" w:line="252" w:lineRule="exact"/>
        <w:rPr>
          <w:sz w:val="20"/>
          <w:szCs w:val="20"/>
          <w:color w:val="auto"/>
        </w:rPr>
      </w:pPr>
    </w:p>
    <w:p>
      <w:pPr>
        <w:ind w:left="340" w:right="200" w:hanging="224"/>
        <w:spacing w:after="0" w:line="277" w:lineRule="auto"/>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Restated as described in Note 2, primarily as a result of a re-assessment of the Company’s accounting for the deconsolidation of Karuna and for the asset acquisition by Gelesis.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Financial Position as of the Period Ended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June 30, 2020</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December 31, 2019</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740" w:type="dxa"/>
            <w:vAlign w:val="bottom"/>
          </w:tcPr>
          <w:p>
            <w:pPr>
              <w:jc w:val="right"/>
              <w:ind w:right="491"/>
              <w:spacing w:after="0"/>
              <w:rPr>
                <w:sz w:val="20"/>
                <w:szCs w:val="20"/>
                <w:color w:val="auto"/>
              </w:rPr>
            </w:pPr>
            <w:r>
              <w:rPr>
                <w:rFonts w:ascii="Arial" w:cs="Arial" w:eastAsia="Arial" w:hAnsi="Arial"/>
                <w:sz w:val="14"/>
                <w:szCs w:val="14"/>
                <w:color w:val="auto"/>
              </w:rPr>
              <w:t>Note</w:t>
            </w: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$000s</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21,583</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Right of use asset, net</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21,570</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625</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Investments held at fair value</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709,456</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714,905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associates</w:t>
            </w:r>
          </w:p>
        </w:tc>
        <w:tc>
          <w:tcPr>
            <w:tcW w:w="2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3,371</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Lease receivable—long-term</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1,895</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758,651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772,333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7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2,200</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2,062</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Lease receivable—short-term</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365</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7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2,124</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7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340,120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132,360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346,871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168,845</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1,105,523</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5,411</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Share premium</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288,225</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287,962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Merger reserve</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138,506</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138,506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reserve</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(26,776)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earnings/(accumulated deficit)</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378,400</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254,444</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Equity attributable to the owners of the Company</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783,766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11, 15</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(16,887)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766,879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revenue</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251</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148,418</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115,445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Lease liability, non-current</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33,935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34,914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182,605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151,579</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1,473</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3,066</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12,802</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Taxes payable</w:t>
            </w: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17,912</w:t>
            </w: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Subsidiary:</w:t>
            </w:r>
          </w:p>
        </w:tc>
        <w:tc>
          <w:tcPr>
            <w:tcW w:w="2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Notes payable</w:t>
            </w:r>
          </w:p>
        </w:tc>
        <w:tc>
          <w:tcPr>
            <w:tcW w:w="2740" w:type="dxa"/>
            <w:vAlign w:val="bottom"/>
          </w:tcPr>
          <w:p>
            <w:pPr>
              <w:jc w:val="right"/>
              <w:ind w:right="371"/>
              <w:spacing w:after="0" w:line="201" w:lineRule="exact"/>
              <w:rPr>
                <w:sz w:val="20"/>
                <w:szCs w:val="20"/>
                <w:color w:val="auto"/>
              </w:rPr>
            </w:pPr>
            <w:r>
              <w:rPr>
                <w:rFonts w:ascii="Arial" w:cs="Arial" w:eastAsia="Arial" w:hAnsi="Arial"/>
                <w:sz w:val="18"/>
                <w:szCs w:val="18"/>
                <w:color w:val="auto"/>
              </w:rPr>
              <w:t>13,</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1,455</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14</w:t>
            </w:r>
          </w:p>
        </w:tc>
        <w:tc>
          <w:tcPr>
            <w:tcW w:w="8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7,130</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rPr>
              <w:t>Preferred shares</w:t>
            </w:r>
          </w:p>
        </w:tc>
        <w:tc>
          <w:tcPr>
            <w:tcW w:w="2740" w:type="dxa"/>
            <w:vAlign w:val="bottom"/>
          </w:tcPr>
          <w:p>
            <w:pPr>
              <w:jc w:val="right"/>
              <w:ind w:right="371"/>
              <w:spacing w:after="0" w:line="201" w:lineRule="exact"/>
              <w:rPr>
                <w:sz w:val="20"/>
                <w:szCs w:val="20"/>
                <w:color w:val="auto"/>
              </w:rPr>
            </w:pPr>
            <w:r>
              <w:rPr>
                <w:rFonts w:ascii="Arial" w:cs="Arial" w:eastAsia="Arial" w:hAnsi="Arial"/>
                <w:sz w:val="18"/>
                <w:szCs w:val="18"/>
                <w:color w:val="auto"/>
              </w:rPr>
              <w:t>12,</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111,238</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2740" w:type="dxa"/>
            <w:vAlign w:val="bottom"/>
          </w:tcPr>
          <w:p>
            <w:pPr>
              <w:jc w:val="right"/>
              <w:ind w:right="371"/>
              <w:spacing w:after="0"/>
              <w:rPr>
                <w:sz w:val="20"/>
                <w:szCs w:val="20"/>
                <w:color w:val="auto"/>
              </w:rPr>
            </w:pPr>
            <w:r>
              <w:rPr>
                <w:rFonts w:ascii="Arial" w:cs="Arial" w:eastAsia="Arial" w:hAnsi="Arial"/>
                <w:sz w:val="18"/>
                <w:szCs w:val="18"/>
                <w:color w:val="auto"/>
              </w:rPr>
              <w:t>13</w:t>
            </w:r>
          </w:p>
        </w:tc>
        <w:tc>
          <w:tcPr>
            <w:tcW w:w="8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100,989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963</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7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156,039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338,644</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290,780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1,105,522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condensed consolidated interim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Share Capital</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Retained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earnings/</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Total</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Non-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Merger</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Translation</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(accumulated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parent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Amount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premium</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reserve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reserve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reserve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deficit)</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equity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interests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$000s</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$000s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$000s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$000s</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$000s</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Restated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Restated</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Restated *</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Restated *</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Restated *</w:t>
            </w:r>
          </w:p>
        </w:tc>
        <w:tc>
          <w:tcPr>
            <w:tcW w:w="52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at January 1,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282,493,867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5,375</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278,385</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6"/>
              </w:rPr>
              <w:t>138,506</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20,923</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(166,693)</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276,506</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(108,535)</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167,971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4"/>
                <w:szCs w:val="14"/>
                <w:color w:val="auto"/>
              </w:rPr>
              <w:t>Net income/(loss)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73,506</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73,506</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(42,361)</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31,145</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exchange</w:t>
            </w:r>
          </w:p>
        </w:tc>
        <w:tc>
          <w:tcPr>
            <w:tcW w:w="92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Total comprehensive income/(loss) for the period</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(82)</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73,506</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73,424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(42,361)</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31,063</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subsidiary</w:t>
            </w:r>
          </w:p>
        </w:tc>
        <w:tc>
          <w:tcPr>
            <w:tcW w:w="92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2,584</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3,251</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3,251</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6,391</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2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June 30, 2019 (unaudited)</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282,493,867</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5,375</w:t>
            </w: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278,385</w:t>
            </w:r>
          </w:p>
        </w:tc>
        <w:tc>
          <w:tcPr>
            <w:tcW w:w="16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6"/>
              </w:rPr>
              <w:t>138,506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24,177</w:t>
            </w: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(93,269)</w:t>
            </w:r>
          </w:p>
        </w:tc>
        <w:tc>
          <w:tcPr>
            <w:tcW w:w="2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353,103</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(145,172)</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207,931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320" w:type="dxa"/>
            <w:vAlign w:val="bottom"/>
          </w:tcPr>
          <w:p>
            <w:pPr>
              <w:spacing w:after="0"/>
              <w:rPr>
                <w:sz w:val="24"/>
                <w:szCs w:val="24"/>
                <w:color w:val="auto"/>
              </w:rPr>
            </w:pPr>
          </w:p>
        </w:tc>
        <w:tc>
          <w:tcPr>
            <w:tcW w:w="1540" w:type="dxa"/>
            <w:vAlign w:val="bottom"/>
            <w:gridSpan w:val="5"/>
          </w:tcPr>
          <w:p>
            <w:pPr>
              <w:ind w:left="300"/>
              <w:spacing w:after="0"/>
              <w:rPr>
                <w:sz w:val="20"/>
                <w:szCs w:val="20"/>
                <w:color w:val="auto"/>
              </w:rPr>
            </w:pPr>
            <w:r>
              <w:rPr>
                <w:rFonts w:ascii="Arial" w:cs="Arial" w:eastAsia="Arial" w:hAnsi="Arial"/>
                <w:sz w:val="14"/>
                <w:szCs w:val="14"/>
                <w:color w:val="auto"/>
              </w:rPr>
              <w:t>Share Capital</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Retained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earnings/</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Total</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Non-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Merger</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Translation</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(accumulated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parent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Amount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premium</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reserve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reserve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reserve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deficit)</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equity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interests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$000s</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$000s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$000s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$000s</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$000s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$000s</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42"/>
        </w:trPr>
        <w:tc>
          <w:tcPr>
            <w:tcW w:w="3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2020</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285,370,619</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5,408</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287,962</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6"/>
              </w:rPr>
              <w:t>138,506</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(18,282)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254,444</w:t>
            </w: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668,037</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(17,639)</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650,398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color w:val="auto"/>
              </w:rPr>
              <w:t>Net Income/(loss)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123,957</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123,957</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123,708</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income/(loss) for the period</w:t>
            </w:r>
          </w:p>
        </w:tc>
        <w:tc>
          <w:tcPr>
            <w:tcW w:w="92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123,957</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123,957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(249)</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123,708</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color w:val="auto"/>
              </w:rPr>
              <w:t>Settlement of restricted stock units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(12,522)</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(12,522)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(12,522)</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share-based awards</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141,842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263</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color w:val="auto"/>
              </w:rPr>
              <w:t>Distributions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Revaluation of deferred tax assets related to share-</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based awards</w:t>
            </w: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color w:val="auto"/>
              </w:rPr>
              <w:t>Equity settled share-based payments</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4,200</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4,200</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5,206</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2020 (unaudited)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285,512,461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5,411</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288,225</w:t>
            </w: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138,506</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(26,776)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378,400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783,766</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(16,887)</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766,878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condensed consolidated interim financial statements.</w:t>
      </w:r>
    </w:p>
    <w:p>
      <w:pPr>
        <w:spacing w:after="0" w:line="248" w:lineRule="exact"/>
        <w:rPr>
          <w:sz w:val="20"/>
          <w:szCs w:val="20"/>
          <w:color w:val="auto"/>
        </w:rPr>
      </w:pPr>
    </w:p>
    <w:p>
      <w:pPr>
        <w:ind w:left="340" w:hanging="224"/>
        <w:spacing w:after="0"/>
        <w:tabs>
          <w:tab w:leader="none" w:pos="34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Restated as described in Note 2, primarily as a result of a re-assessment of the Company’s accounting for the deconsolidation of Karuna and for the asset acquisition by Gelesis.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Six Months Ended June 30</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Note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Restated *</w:t>
            </w:r>
          </w:p>
        </w:tc>
        <w:tc>
          <w:tcPr>
            <w:tcW w:w="0" w:type="dxa"/>
            <w:vAlign w:val="bottom"/>
          </w:tcPr>
          <w:p>
            <w:pPr>
              <w:spacing w:after="0"/>
              <w:rPr>
                <w:sz w:val="1"/>
                <w:szCs w:val="1"/>
                <w:color w:val="auto"/>
              </w:rPr>
            </w:pPr>
          </w:p>
        </w:tc>
      </w:tr>
      <w:tr>
        <w:trPr>
          <w:trHeight w:val="183"/>
        </w:trPr>
        <w:tc>
          <w:tcPr>
            <w:tcW w:w="8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Income/(loss)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123,708</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31,145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including non-controlling interest to net cash used in operating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9, 16</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Equity settled share-based payment expense</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5,206</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6,391</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Gain on deconsolidation</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(108,395)</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(Gain)/loss on investments held at fair value</w:t>
            </w: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(276,910)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(52,375)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Loss realized on sale of investments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44,539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Loss on associates accounted for using the equity method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7,271</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assets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Income taxes, net</w:t>
            </w: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50,775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25,277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finance costs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(1,686)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34,125</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b w:val="1"/>
                <w:bCs w:val="1"/>
                <w:color w:val="auto"/>
              </w:rPr>
              <w:t>Changes in operating assets and liabilities: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(4,971)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(6,991)</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368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Interest received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1,004</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(56,098)</w:t>
            </w:r>
          </w:p>
        </w:tc>
        <w:tc>
          <w:tcPr>
            <w:tcW w:w="200" w:type="dxa"/>
            <w:vAlign w:val="bottom"/>
            <w:vMerge w:val="continue"/>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(55,326)</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(2,054)</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(9,717)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Purchases of associates preferred shares held at fair value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(10,650)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(5,650)</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Purchases of investments held at fair value</w:t>
            </w: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in subsidiary eliminated upon deconsolidation</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(10,379)</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Purchases of short term investments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(39,693)</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investments held at fair value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248,970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Receipt of payment for finance sub-lease</w:t>
            </w: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171</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maturity of short term investments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30,116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103,995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b w:val="1"/>
                <w:bCs w:val="1"/>
                <w:color w:val="auto"/>
              </w:rPr>
              <w:t>Net cash provided by/(used in) investing activities</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266,052</w:t>
            </w:r>
          </w:p>
        </w:tc>
        <w:tc>
          <w:tcPr>
            <w:tcW w:w="200" w:type="dxa"/>
            <w:vAlign w:val="bottom"/>
            <w:vMerge w:val="continue"/>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Proceeds from issuance of convertible notes</w:t>
            </w: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Repayment of long-term debt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Receipt of PPP loan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68</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Issuance of preferred shares of subsidiaries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11,250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32,478</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266</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Payment of lease liability</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(1,256)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Repurchase of vested restricted share units</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(12,522)</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(2,194)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33,405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vMerge w:val="continue"/>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207,760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14,997</w:t>
            </w: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132,360</w:t>
            </w:r>
          </w:p>
        </w:tc>
        <w:tc>
          <w:tcPr>
            <w:tcW w:w="2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117,051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year</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340,120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132,048</w:t>
            </w: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investment and financing activities: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w w:val="96"/>
              </w:rPr>
              <w:t>Purchase of intangible asset and investment held at fair value in consideration for issuance of warrant liability and assumption of</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long and short-term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15,894</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6"/>
                <w:szCs w:val="16"/>
                <w:color w:val="auto"/>
              </w:rPr>
              <w:t>Leasehold improvements purchased through lease incentives (deducted from Right of Use Asset)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10,680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condensed consolidated interim financial statements.</w:t>
      </w:r>
    </w:p>
    <w:p>
      <w:pPr>
        <w:spacing w:after="0" w:line="257" w:lineRule="exact"/>
        <w:rPr>
          <w:sz w:val="20"/>
          <w:szCs w:val="20"/>
          <w:color w:val="auto"/>
        </w:rPr>
      </w:pPr>
    </w:p>
    <w:p>
      <w:pPr>
        <w:ind w:left="340" w:right="140" w:hanging="224"/>
        <w:spacing w:after="0" w:line="293" w:lineRule="auto"/>
        <w:tabs>
          <w:tab w:leader="none" w:pos="3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Restated as described in Note 2, primarily as a result of a re-assessment of the Company’s accounting for the deconsolidation of Karuna and for the asset acquisition by Gelesis.</w:t>
      </w:r>
    </w:p>
    <w:p>
      <w:pPr>
        <w:sectPr>
          <w:pgSz w:w="11900" w:h="16838" w:orient="portrait"/>
          <w:cols w:equalWidth="0" w:num="1">
            <w:col w:w="11140"/>
          </w:cols>
          <w:pgMar w:left="320" w:top="459" w:right="439" w:bottom="1440" w:gutter="0" w:footer="0" w:header="0"/>
        </w:sectPr>
      </w:pP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F-81</w:t>
      </w:r>
    </w:p>
    <w:p>
      <w:pPr>
        <w:sectPr>
          <w:pgSz w:w="11900" w:h="16838" w:orient="portrait"/>
          <w:cols w:equalWidth="0" w:num="1">
            <w:col w:w="11140"/>
          </w:cols>
          <w:pgMar w:left="320" w:top="459" w:right="439" w:bottom="1440" w:gutter="0" w:footer="0" w:header="0"/>
          <w:type w:val="continuous"/>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PureTech Health plc (“PureTech,” the “Parent” or the “Company”) is a public company incorporated, domiciled and registered in the United Kingdom (“UK”). The registered number is 09582467 and the registered address is 8th Floor, 20 Farringdon Street, London EC4A 3AE, United Kingdom.</w:t>
      </w:r>
    </w:p>
    <w:p>
      <w:pPr>
        <w:spacing w:after="0" w:line="12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PureTech, which is comprised of PureTech Health plc and its Founded Entities,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w:t>
      </w:r>
    </w:p>
    <w:p>
      <w:pPr>
        <w:spacing w:after="0" w:line="16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PureTech’s Condensed Consolidated Financial Statements (“interim financial statements”) consolidate those of the Company and its subsidiaries (together referred to as the “Group”).</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accounting policies applied consistently to all periods presented in these half-yearly Condensed Consolidated Financial Statements are the same as those applied by the Group in its Consolidated Financial Statements in its 2019 Annual Report and Accounts, with the exception of any new standards the Group adopted as of January 1, 2020, included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Accounting</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These interim financial statements have been prepared in accordance with International Accounting Standards (“IAS”) 34 Interim Financial Reporting and should be read in conjunction with the Group’s last Consolidated Financial Statements as of and for the year ended December 31, 2019. They do not include all the information required for a complete set of IFRS financial statements. However, selected explanatory notes are included to explain events and transactions that are significant to an understanding of the changes in the Group’s financial position and performance since the last annual consolidated financial information included in the annual report and accounts as of and for the year ended December 31, 2019. Certain amounts in the Condensed Consolidated Financial Statements and accompanying notes may not add due to rounding. All percentages have been calculated using unrounded amounts.</w:t>
      </w:r>
    </w:p>
    <w:p>
      <w:pPr>
        <w:spacing w:after="0" w:line="19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Group has prepared trading and cash flow forecasts for the Group covering the period to the first quarter of 2024. After making inquiries and considering the impact of risks and opportunities on expected cash flows the Directors have a reasonable expectation that the Group has adequate cash to continue in operational existence for the foreseeable future. For this reason, the Group has adopted the going concern basis in preparing the half-yearly results.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condensed financial statements were authorized for issue by the Company’s Board of Directors on August 26,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December 2019, illnesses associated with COVID-19 were reported and the virus has since caused widespread and significant disruption to daily life and economies across geographies. The World Health Organization has classified the outbreak as a pandemic. The Group’s business, operations and financial condition and results has not been significantly impacted during the six months ended June 30, 2020. In response to the COVID-19 pandemic, PureTech has taken swift action to ensure the safety of its employees and other stakeholders. The Company is continuing to monitor the latest developments regarding the COVID-19 pandemic on its business, operations, and financial condition and results, and has made certain assumptions regarding the pandemic for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purposes of its operational planning and financial projections, including assumptions regarding the duration and severity of the pandemic and the global macroeconomic impact of the pandemic. Despite careful tracking and planning, however, PureTech is unable to accurately predict the extent of the impact of the pandemic on its business, operations, and financial condition and results in future periods due to the uncertainty of future developments. The Company is focused on all aspects of its business and is implementing measures aimed at mitigating issues where possible including by using digital technology to assist operations for our R&amp;D and enabling functions.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There have been no significant changes in the Group’s accounting policies from those disclosed in our Consolidated Financial Statements as of and for the year ended December 31, 2019. The significant accounting policies we use for half-year financial reporting are disclosed in Note 1, Accounting policies of the accompanying notes to the Consolidated Financial Statements included in our 2019 Annual Report, in the below paragraph, and in the section below Adoption of New Accounting Standards.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Amounts received as part of research and collaboration agreements to participate in certain research and development activities that do not fall within the scope of IFRS 15 are recorded as a credit to the applicable costs in which the collaborating party is participating, at the time the costs are incurred.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There have been no recent new accounting standards that have had an impact on the Company’s Condensed Consolidated Financial Statements. New accounting standards not listed below were assessed and determined to be either not applicable or did not have a material impact on the Company’s Condensed Consolidated Financial Statements or processes.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adopted the amendments to IAS 1, Presentation of Financial Statements, and IAS 8, Accounting Policies, Changes in Accounting Estimates and Errors which clarified the definition of ‘materiality’ and how it should be applied. The amendments also improve the explanations of the definition and ensure consistency across all IFRS Standards. There was no impact on the Group’s Condensed Consolidated Financial Statements from the adoption of this new standard.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Prior Period</w:t>
      </w:r>
    </w:p>
    <w:p>
      <w:pPr>
        <w:spacing w:after="0" w:line="121"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Primarily as a result of a re-assessment of the Company’s accounting for the deconsolidation of Karuna and for the asset acquisition by Gelesis (which was deconsolidated on July 1, 2019), the Company has made certain restatements in its Condensed Consolidated Statement of Comprehensive Income, Condensed Consolidated Statements of Changes in Equity and its Condensed Consolidated Statement of Cash Flows for the six months ended June 30, 2019, as follows:</w:t>
      </w:r>
    </w:p>
    <w:p>
      <w:pPr>
        <w:spacing w:after="0" w:line="92" w:lineRule="exact"/>
        <w:rPr>
          <w:sz w:val="20"/>
          <w:szCs w:val="20"/>
          <w:color w:val="auto"/>
        </w:rPr>
      </w:pPr>
    </w:p>
    <w:p>
      <w:pPr>
        <w:ind w:left="1080" w:hanging="532"/>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Condensed Consolidated Statement of Comprehensive Income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During the six months ended June 30, 2019, the Company deconsolidated two of its subsidiaries due to loss of control. The gain on deconsolidation was not calculated in accordance with IFRS 10, predominantly since part of the gain was recognized in equity as opposed to Other income. An adjustment has been made in respect of the above, which resulted in an increase to Other income of $45.2 million, against a direct decrease to the retained earnings account of $46.4 million, an increase to Other reserves of $3.8 million and a decrease to Non-controlling interests of $2.6 million. The impact of these adjustments on the Company’s consolidated comprehensive income for the period was an increase in income of $45.2 million to $31.1 million profit, rather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060"/>
          </w:cols>
          <w:pgMar w:left="320" w:top="459" w:right="51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than a loss of $14.1 million as reported before. There was no impact on the opening balances at January 1, 2019. The changes are as follows: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420" w:type="dxa"/>
            <w:vAlign w:val="bottom"/>
            <w:gridSpan w:val="2"/>
          </w:tcPr>
          <w:p>
            <w:pPr>
              <w:jc w:val="right"/>
              <w:ind w:right="118"/>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$000s</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$000s</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$000s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Previously</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Reported</w:t>
            </w:r>
          </w:p>
        </w:tc>
        <w:tc>
          <w:tcPr>
            <w:tcW w:w="1040" w:type="dxa"/>
            <w:vAlign w:val="bottom"/>
            <w:gridSpan w:val="2"/>
            <w:vMerge w:val="continue"/>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income/(expense):</w:t>
            </w:r>
          </w:p>
        </w:tc>
        <w:tc>
          <w:tcPr>
            <w:tcW w:w="3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Gain on deconsolidation</w:t>
            </w:r>
          </w:p>
        </w:tc>
        <w:tc>
          <w:tcPr>
            <w:tcW w:w="3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63,231</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4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115,565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160,729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Income/(loss) before taxes</w:t>
            </w:r>
          </w:p>
        </w:tc>
        <w:tc>
          <w:tcPr>
            <w:tcW w:w="4740" w:type="dxa"/>
            <w:vAlign w:val="bottom"/>
            <w:gridSpan w:val="3"/>
          </w:tcPr>
          <w:p>
            <w:pPr>
              <w:jc w:val="right"/>
              <w:ind w:right="320"/>
              <w:spacing w:after="0"/>
              <w:rPr>
                <w:sz w:val="20"/>
                <w:szCs w:val="20"/>
                <w:color w:val="auto"/>
              </w:rPr>
            </w:pPr>
            <w:r>
              <w:rPr>
                <w:rFonts w:ascii="Arial" w:cs="Arial" w:eastAsia="Arial" w:hAnsi="Arial"/>
                <w:sz w:val="18"/>
                <w:szCs w:val="18"/>
                <w:color w:val="auto"/>
              </w:rPr>
              <w:t>11,123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45,164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56,287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Taxation</w:t>
            </w:r>
          </w:p>
        </w:tc>
        <w:tc>
          <w:tcPr>
            <w:tcW w:w="4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(25,142)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(25,142)</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Income/(loss) for the period</w:t>
            </w:r>
          </w:p>
        </w:tc>
        <w:tc>
          <w:tcPr>
            <w:tcW w:w="3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(14,019)</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income/(loss)</w:t>
            </w:r>
          </w:p>
        </w:tc>
        <w:tc>
          <w:tcPr>
            <w:tcW w:w="4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3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(14,101)</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attributable to:</w:t>
            </w:r>
          </w:p>
        </w:tc>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4740" w:type="dxa"/>
            <w:vAlign w:val="bottom"/>
            <w:gridSpan w:val="3"/>
          </w:tcPr>
          <w:p>
            <w:pPr>
              <w:jc w:val="right"/>
              <w:ind w:right="320"/>
              <w:spacing w:after="0"/>
              <w:rPr>
                <w:sz w:val="20"/>
                <w:szCs w:val="20"/>
                <w:color w:val="auto"/>
              </w:rPr>
            </w:pPr>
            <w:r>
              <w:rPr>
                <w:rFonts w:ascii="Arial" w:cs="Arial" w:eastAsia="Arial" w:hAnsi="Arial"/>
                <w:sz w:val="18"/>
                <w:szCs w:val="18"/>
                <w:color w:val="auto"/>
              </w:rPr>
              <w:t>28,342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45,164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73,506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(42,361)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(14,019)</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income/(loss) attributable to:</w:t>
            </w:r>
          </w:p>
        </w:tc>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4740" w:type="dxa"/>
            <w:vAlign w:val="bottom"/>
            <w:gridSpan w:val="3"/>
          </w:tcPr>
          <w:p>
            <w:pPr>
              <w:jc w:val="right"/>
              <w:ind w:right="320"/>
              <w:spacing w:after="0"/>
              <w:rPr>
                <w:sz w:val="20"/>
                <w:szCs w:val="20"/>
                <w:color w:val="auto"/>
              </w:rPr>
            </w:pPr>
            <w:r>
              <w:rPr>
                <w:rFonts w:ascii="Arial" w:cs="Arial" w:eastAsia="Arial" w:hAnsi="Arial"/>
                <w:sz w:val="18"/>
                <w:szCs w:val="18"/>
                <w:color w:val="auto"/>
              </w:rPr>
              <w:t>28,260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45,164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73,424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4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(42,361)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(14,101)</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420" w:type="dxa"/>
            <w:vAlign w:val="bottom"/>
            <w:gridSpan w:val="2"/>
            <w:shd w:val="clear" w:color="auto" w:fill="CCEEFF"/>
          </w:tcPr>
          <w:p>
            <w:pPr>
              <w:jc w:val="right"/>
              <w:ind w:right="19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740" w:type="dxa"/>
            <w:vAlign w:val="bottom"/>
            <w:gridSpan w:val="3"/>
          </w:tcPr>
          <w:p>
            <w:pPr>
              <w:jc w:val="right"/>
              <w:ind w:right="320"/>
              <w:spacing w:after="0"/>
              <w:rPr>
                <w:sz w:val="20"/>
                <w:szCs w:val="20"/>
                <w:color w:val="auto"/>
              </w:rPr>
            </w:pPr>
            <w:r>
              <w:rPr>
                <w:rFonts w:ascii="Arial" w:cs="Arial" w:eastAsia="Arial" w:hAnsi="Arial"/>
                <w:sz w:val="18"/>
                <w:szCs w:val="18"/>
                <w:color w:val="auto"/>
              </w:rPr>
              <w:t>0.10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7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4740" w:type="dxa"/>
            <w:vAlign w:val="bottom"/>
            <w:gridSpan w:val="3"/>
          </w:tcPr>
          <w:p>
            <w:pPr>
              <w:jc w:val="right"/>
              <w:ind w:right="3460"/>
              <w:spacing w:after="0"/>
              <w:rPr>
                <w:sz w:val="20"/>
                <w:szCs w:val="20"/>
                <w:color w:val="auto"/>
              </w:rPr>
            </w:pPr>
            <w:r>
              <w:rPr>
                <w:rFonts w:ascii="Arial" w:cs="Arial" w:eastAsia="Arial" w:hAnsi="Arial"/>
                <w:sz w:val="18"/>
                <w:szCs w:val="18"/>
                <w:color w:val="auto"/>
              </w:rPr>
              <w:t>F-84</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Condensed Consolidated Statements of Changes in Equity</w:t>
      </w:r>
    </w:p>
    <w:p>
      <w:pPr>
        <w:spacing w:after="0" w:line="117"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As a result of the aforementioned adjustment in the application of IFRS 10, as well as an adjustment to the IFRS 16 implementation (which constituted primarily a reclassification with the Deconsolidation of Subsidiaries line item, which did not impact the total retained earnings), the Company has made the following adjustments to the Condensed Consolidated Statements of Changes in Equity for the six months ended June 30, 2019.</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Retained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earnings/(accumulated</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Total parent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controlling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8"/>
              </w:rPr>
              <w:t>Other reserve</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deficit)</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equity</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interests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Total equity</w:t>
            </w:r>
          </w:p>
        </w:tc>
      </w:tr>
      <w:tr>
        <w:trPr>
          <w:trHeight w:val="167"/>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color w:val="auto"/>
              </w:rPr>
              <w:t>$000s</w:t>
            </w: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$000s</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$000s</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$000s</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$000s</w:t>
            </w:r>
          </w:p>
        </w:tc>
      </w:tr>
      <w:tr>
        <w:trPr>
          <w:trHeight w:val="156"/>
        </w:trPr>
        <w:tc>
          <w:tcPr>
            <w:tcW w:w="44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previously reported</w:t>
            </w:r>
          </w:p>
        </w:tc>
        <w:tc>
          <w:tcPr>
            <w:tcW w:w="10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1"/>
        </w:trPr>
        <w:tc>
          <w:tcPr>
            <w:tcW w:w="9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Adjustment for the initial application of IFRS 16</w:t>
            </w:r>
          </w:p>
        </w:tc>
        <w:tc>
          <w:tcPr>
            <w:tcW w:w="10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(642)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(642)</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Adjusted balance as of January 1, 2019</w:t>
            </w:r>
          </w:p>
        </w:tc>
        <w:tc>
          <w:tcPr>
            <w:tcW w:w="2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20,923</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(168,334)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274,865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(108,535)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166,330</w:t>
            </w:r>
          </w:p>
        </w:tc>
      </w:tr>
      <w:tr>
        <w:trPr>
          <w:trHeight w:val="223"/>
        </w:trPr>
        <w:tc>
          <w:tcPr>
            <w:tcW w:w="4440" w:type="dxa"/>
            <w:vAlign w:val="bottom"/>
            <w:gridSpan w:val="4"/>
          </w:tcPr>
          <w:p>
            <w:pPr>
              <w:spacing w:after="0"/>
              <w:rPr>
                <w:sz w:val="20"/>
                <w:szCs w:val="20"/>
                <w:color w:val="auto"/>
              </w:rPr>
            </w:pPr>
            <w:r>
              <w:rPr>
                <w:rFonts w:ascii="Arial" w:cs="Arial" w:eastAsia="Arial" w:hAnsi="Arial"/>
                <w:sz w:val="18"/>
                <w:szCs w:val="18"/>
                <w:color w:val="auto"/>
              </w:rPr>
              <w:t>Net income/(loss)</w:t>
            </w:r>
          </w:p>
        </w:tc>
        <w:tc>
          <w:tcPr>
            <w:tcW w:w="10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(42,361)</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120" w:type="dxa"/>
            <w:vAlign w:val="bottom"/>
          </w:tcPr>
          <w:p>
            <w:pPr>
              <w:spacing w:after="0"/>
              <w:rPr>
                <w:sz w:val="19"/>
                <w:szCs w:val="19"/>
                <w:color w:val="auto"/>
              </w:rPr>
            </w:pP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comprehensive income/(loss) for the period</w:t>
            </w:r>
          </w:p>
        </w:tc>
        <w:tc>
          <w:tcPr>
            <w:tcW w:w="10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28,342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28,260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(42,361)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(14,101)</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Deconsolidation of subsidiaries</w:t>
            </w: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(3,794)</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47,621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43,827</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5,189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49,015</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2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20,380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350,203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(142,567)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207,635</w:t>
            </w:r>
          </w:p>
        </w:tc>
      </w:tr>
      <w:tr>
        <w:trPr>
          <w:trHeight w:val="283"/>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Adjustments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4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Adjustment for the initial application of</w:t>
            </w: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IFRS 16</w:t>
            </w:r>
          </w:p>
        </w:tc>
        <w:tc>
          <w:tcPr>
            <w:tcW w:w="10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1,641</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Adjusted balance as of January 1, 2019</w:t>
            </w:r>
          </w:p>
        </w:tc>
        <w:tc>
          <w:tcPr>
            <w:tcW w:w="10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1,641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1,641</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1,641</w:t>
            </w:r>
          </w:p>
        </w:tc>
      </w:tr>
      <w:tr>
        <w:trPr>
          <w:trHeight w:val="27"/>
        </w:trPr>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45,164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45,164</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45,164</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Total comprehensive income/(loss) for the period</w:t>
            </w:r>
          </w:p>
        </w:tc>
        <w:tc>
          <w:tcPr>
            <w:tcW w:w="10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45,164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45,164</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45,164</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Deconsolidation of subsidiaries</w:t>
            </w:r>
          </w:p>
        </w:tc>
        <w:tc>
          <w:tcPr>
            <w:tcW w:w="2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3,794</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(43,827)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(46,432)</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2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3,797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r>
      <w:tr>
        <w:trPr>
          <w:trHeight w:val="283"/>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As Restated</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4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Adjustment for the initial application of</w:t>
            </w: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IFRS 16</w:t>
            </w:r>
          </w:p>
        </w:tc>
        <w:tc>
          <w:tcPr>
            <w:tcW w:w="10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Adjusted balance as of January 1, 2019</w:t>
            </w:r>
          </w:p>
        </w:tc>
        <w:tc>
          <w:tcPr>
            <w:tcW w:w="10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20,923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(166,693)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276,506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(108,535)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167,971</w:t>
            </w:r>
          </w:p>
        </w:tc>
      </w:tr>
      <w:tr>
        <w:trPr>
          <w:trHeight w:val="27"/>
        </w:trPr>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73,506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73,506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(42,361)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Total comprehensive income/(loss) for the period</w:t>
            </w:r>
          </w:p>
        </w:tc>
        <w:tc>
          <w:tcPr>
            <w:tcW w:w="10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73,506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73,424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(42,361)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31,063</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Deconsolidation of subsidiaries</w:t>
            </w:r>
          </w:p>
        </w:tc>
        <w:tc>
          <w:tcPr>
            <w:tcW w:w="10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0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24,177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353,103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(145,172)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207,931</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20" w:type="dxa"/>
            <w:vAlign w:val="bottom"/>
            <w:gridSpan w:val="3"/>
          </w:tcPr>
          <w:p>
            <w:pPr>
              <w:jc w:val="right"/>
              <w:ind w:right="880"/>
              <w:spacing w:after="0"/>
              <w:rPr>
                <w:sz w:val="20"/>
                <w:szCs w:val="20"/>
                <w:color w:val="auto"/>
              </w:rPr>
            </w:pPr>
            <w:r>
              <w:rPr>
                <w:rFonts w:ascii="Arial" w:cs="Arial" w:eastAsia="Arial" w:hAnsi="Arial"/>
                <w:sz w:val="18"/>
                <w:szCs w:val="18"/>
                <w:color w:val="auto"/>
              </w:rPr>
              <w:t>F-85</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Condensed Consolidated Statement of Cash Flows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restated the Condensed Consolidated Statement of Cash Flows for the six months ended June 30, 2019 to adjust mis-categorization of certain line items (see below). These adjustments do not change the overall increase in cash and cash equivalents during the period, which remained constant. The impact is as follows: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60" w:type="dxa"/>
            <w:vAlign w:val="bottom"/>
          </w:tcPr>
          <w:p>
            <w:pPr>
              <w:jc w:val="right"/>
              <w:ind w:right="497"/>
              <w:spacing w:after="0"/>
              <w:rPr>
                <w:sz w:val="20"/>
                <w:szCs w:val="20"/>
                <w:color w:val="auto"/>
              </w:rPr>
            </w:pPr>
            <w:r>
              <w:rPr>
                <w:rFonts w:ascii="Arial" w:cs="Arial" w:eastAsia="Arial" w:hAnsi="Arial"/>
                <w:sz w:val="14"/>
                <w:szCs w:val="14"/>
                <w:color w:val="auto"/>
              </w:rPr>
              <w:t>2019</w:t>
            </w:r>
          </w:p>
        </w:tc>
        <w:tc>
          <w:tcPr>
            <w:tcW w:w="62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color w:val="auto"/>
              </w:rPr>
              <w:t>2019</w:t>
            </w:r>
          </w:p>
        </w:tc>
        <w:tc>
          <w:tcPr>
            <w:tcW w:w="62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$000s</w:t>
            </w: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$000s</w:t>
            </w:r>
          </w:p>
        </w:tc>
        <w:tc>
          <w:tcPr>
            <w:tcW w:w="1020" w:type="dxa"/>
            <w:vAlign w:val="bottom"/>
            <w:gridSpan w:val="2"/>
          </w:tcPr>
          <w:p>
            <w:pPr>
              <w:jc w:val="center"/>
              <w:ind w:right="204"/>
              <w:spacing w:after="0"/>
              <w:rPr>
                <w:sz w:val="20"/>
                <w:szCs w:val="20"/>
                <w:color w:val="auto"/>
              </w:rPr>
            </w:pPr>
            <w:r>
              <w:rPr>
                <w:rFonts w:ascii="Arial" w:cs="Arial" w:eastAsia="Arial" w:hAnsi="Arial"/>
                <w:sz w:val="14"/>
                <w:szCs w:val="14"/>
                <w:color w:val="auto"/>
                <w:w w:val="89"/>
              </w:rPr>
              <w:t>$000s</w:t>
            </w: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As Previously Reported</w:t>
            </w:r>
          </w:p>
        </w:tc>
        <w:tc>
          <w:tcPr>
            <w:tcW w:w="6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Adjustments</w:t>
            </w:r>
          </w:p>
        </w:tc>
        <w:tc>
          <w:tcPr>
            <w:tcW w:w="6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(35,482)</w:t>
            </w:r>
          </w:p>
        </w:tc>
        <w:tc>
          <w:tcPr>
            <w:tcW w:w="6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6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(a)</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6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23,487</w:t>
            </w:r>
          </w:p>
        </w:tc>
        <w:tc>
          <w:tcPr>
            <w:tcW w:w="6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37,000</w:t>
            </w:r>
          </w:p>
        </w:tc>
        <w:tc>
          <w:tcPr>
            <w:tcW w:w="280" w:type="dxa"/>
            <w:vAlign w:val="bottom"/>
          </w:tcPr>
          <w:p>
            <w:pPr>
              <w:jc w:val="right"/>
              <w:ind w:right="24"/>
              <w:spacing w:after="0"/>
              <w:rPr>
                <w:sz w:val="20"/>
                <w:szCs w:val="20"/>
                <w:color w:val="auto"/>
              </w:rPr>
            </w:pPr>
            <w:r>
              <w:rPr>
                <w:rFonts w:ascii="Arial" w:cs="Arial" w:eastAsia="Arial" w:hAnsi="Arial"/>
                <w:sz w:val="15"/>
                <w:szCs w:val="15"/>
                <w:color w:val="auto"/>
                <w:w w:val="87"/>
              </w:rPr>
              <w:t>(b)</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37,049</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(3,644)</w:t>
            </w:r>
          </w:p>
        </w:tc>
        <w:tc>
          <w:tcPr>
            <w:tcW w:w="10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33,405</w:t>
            </w:r>
            <w:r>
              <w:rPr>
                <w:rFonts w:ascii="Arial" w:cs="Arial" w:eastAsia="Arial" w:hAnsi="Arial"/>
                <w:sz w:val="15"/>
                <w:szCs w:val="15"/>
                <w:color w:val="auto"/>
              </w:rPr>
              <w:t>(c)</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14,997</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14,997</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66" w:lineRule="auto"/>
        <w:tabs>
          <w:tab w:leader="none" w:pos="5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adjustments to net cash used in operating activities were primarily in relation to (1) changes made to the treatment of an asset acquisition by Gelesis, which was mostly non-cash in nature for the six months ended June 30, 2019, accounted for previously as if it were an actual cash outflow. The updated presentation reflects this change which is to remove this transaction from both operating and investing activities, resulting in a $11.2 million increase in cash provided by investing activities against an increase in cash used in operating activities; (2) the sale of a short term investment, which was previously inappropriately classified as an operating activity when this was an investing activity. This totaled $5.0 million and the appropriate classification has now been applied. As a result there was a $5.0 million increase in cash used by operating activities and an increase in cash provided by investing activities; (3) changes made to the categorization of assets and liabilities that were disposed of in the deconsolidation of Karuna, resulting in a $2.0 million increase in cash used by operating activities and an increase in cash provided by investing activities; and (4) a removal of the loss on issuance of Gelesis preferred shares of $1.6 million which was originally included as a cash movement in financing activities. This change resulted in a $1.6 million increase in cash used by operating activities and an increase in cash provided by financing activities.</w:t>
      </w:r>
    </w:p>
    <w:p>
      <w:pPr>
        <w:spacing w:after="0" w:line="7" w:lineRule="exact"/>
        <w:rPr>
          <w:rFonts w:ascii="Arial" w:cs="Arial" w:eastAsia="Arial" w:hAnsi="Arial"/>
          <w:sz w:val="17"/>
          <w:szCs w:val="17"/>
          <w:color w:val="auto"/>
        </w:rPr>
      </w:pPr>
    </w:p>
    <w:p>
      <w:pPr>
        <w:ind w:left="540" w:right="140" w:hanging="424"/>
        <w:spacing w:after="0" w:line="281" w:lineRule="auto"/>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evidenced in footnote (a), the main adjustments to investing activities were the $11.2 million increase in cash provided by investing activities related to the Gelesis asset acquisition, the increase of $5.0 million related to the sale of a short-term investment, as well as the increase of</w:t>
      </w:r>
    </w:p>
    <w:p>
      <w:pPr>
        <w:spacing w:after="0" w:line="1" w:lineRule="exact"/>
        <w:rPr>
          <w:rFonts w:ascii="Arial" w:cs="Arial" w:eastAsia="Arial" w:hAnsi="Arial"/>
          <w:sz w:val="16"/>
          <w:szCs w:val="16"/>
          <w:color w:val="auto"/>
        </w:rPr>
      </w:pP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$2.0 million related to the changes made to categorization of assets and liabilities disposed of in the deconsolidation of Karuna. Also, $4.7 million was removed from financing activities to decrease net cash provided by financing activities, and from investing activities to increase net cash provided by investing activities, that is to reflect the non-cash nature of the investment in the above mentioned asset acquisition by Gelesis in exchange for the issuance of warrants. Other changes of approximately $0.6 million resulted from an adjustment to correct purchases of property, plant and equipment.</w:t>
      </w:r>
    </w:p>
    <w:p>
      <w:pPr>
        <w:spacing w:after="0" w:line="1" w:lineRule="exact"/>
        <w:rPr>
          <w:rFonts w:ascii="Arial" w:cs="Arial" w:eastAsia="Arial" w:hAnsi="Arial"/>
          <w:sz w:val="16"/>
          <w:szCs w:val="16"/>
          <w:color w:val="auto"/>
        </w:rPr>
      </w:pPr>
    </w:p>
    <w:p>
      <w:pPr>
        <w:ind w:left="540" w:right="100" w:hanging="424"/>
        <w:spacing w:after="0" w:line="323" w:lineRule="auto"/>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adjustment is the result of the $4.7 million change mentioned in footnote (b) as well as an adjustment for the payment of the lease liability of $0.5 million, partially offset by the removal of the loss on issuance of Gelesis preferred shares described in footnote (a) of $1.6 million.</w:t>
      </w:r>
    </w:p>
    <w:p>
      <w:pPr>
        <w:spacing w:after="0" w:line="13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Please note that no changes will need to be made to the full year financials for 2019 reported on April 9, 2020 as a result of the above mentioned adjustments.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00"/>
          </w:cols>
          <w:pgMar w:left="320" w:top="459" w:right="4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recorded in the Condensed Consolidated Statement of Comprehensive Income/(Loss) consists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color w:val="auto"/>
                <w:w w:val="89"/>
              </w:rPr>
              <w:t>For the six months ended June 30,</w:t>
            </w:r>
          </w:p>
        </w:tc>
        <w:tc>
          <w:tcPr>
            <w:tcW w:w="54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9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62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Contract revenue</w:t>
            </w:r>
          </w:p>
        </w:tc>
        <w:tc>
          <w:tcPr>
            <w:tcW w:w="48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5,465</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Grant income</w:t>
            </w:r>
          </w:p>
        </w:tc>
        <w:tc>
          <w:tcPr>
            <w:tcW w:w="48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1,379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8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All amounts recorded in contract revenue were generated in the United States. All of the Company’s contracts as of June 30, 2020 and 2019 were determined to have a single performance obligation which consists of a combined deliverable of license to intellectual property and research and development services. Therefore revenue is recognized over time based on the input method which the Company believes is a faithful depiction of the transfer of goods and services. Progress is measured based on costs incurred to date as compared to total projected costs.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Disaggregated Revenue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 disaggregates contract revenue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color w:val="auto"/>
                <w:w w:val="94"/>
              </w:rPr>
              <w:t>Timing of revenue recognition</w:t>
            </w:r>
          </w:p>
        </w:tc>
        <w:tc>
          <w:tcPr>
            <w:tcW w:w="5080" w:type="dxa"/>
            <w:vAlign w:val="bottom"/>
            <w:gridSpan w:val="2"/>
            <w:vMerge w:val="restart"/>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5080" w:type="dxa"/>
            <w:vAlign w:val="bottom"/>
            <w:gridSpan w:val="2"/>
            <w:vMerge w:val="continue"/>
          </w:tcPr>
          <w:p>
            <w:pPr>
              <w:spacing w:after="0"/>
              <w:rPr>
                <w:sz w:val="15"/>
                <w:szCs w:val="15"/>
                <w:color w:val="auto"/>
              </w:rPr>
            </w:pPr>
          </w:p>
        </w:tc>
        <w:tc>
          <w:tcPr>
            <w:tcW w:w="9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$000s</w:t>
            </w:r>
          </w:p>
        </w:tc>
        <w:tc>
          <w:tcPr>
            <w:tcW w:w="600" w:type="dxa"/>
            <w:vAlign w:val="bottom"/>
            <w:gridSpan w:val="2"/>
          </w:tcPr>
          <w:p>
            <w:pPr>
              <w:ind w:left="100"/>
              <w:spacing w:after="0" w:line="158"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Transferred at a point in time</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Transferred over time</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5,465</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97"/>
              </w:rPr>
              <w:t>3,955</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5,465</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3,955</w:t>
            </w:r>
          </w:p>
        </w:tc>
        <w:tc>
          <w:tcPr>
            <w:tcW w:w="0" w:type="dxa"/>
            <w:vAlign w:val="bottom"/>
          </w:tcPr>
          <w:p>
            <w:pPr>
              <w:spacing w:after="0"/>
              <w:rPr>
                <w:sz w:val="1"/>
                <w:szCs w:val="1"/>
                <w:color w:val="auto"/>
              </w:rPr>
            </w:pPr>
          </w:p>
        </w:tc>
      </w:tr>
      <w:tr>
        <w:trPr>
          <w:trHeight w:val="376"/>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w w:val="91"/>
              </w:rPr>
              <w:t>Customers over 10% of revenue</w:t>
            </w:r>
          </w:p>
        </w:tc>
        <w:tc>
          <w:tcPr>
            <w:tcW w:w="4980" w:type="dxa"/>
            <w:vAlign w:val="bottom"/>
            <w:vMerge w:val="restart"/>
          </w:tcPr>
          <w:p>
            <w:pPr>
              <w:spacing w:after="0"/>
              <w:rPr>
                <w:sz w:val="24"/>
                <w:szCs w:val="24"/>
                <w:color w:val="auto"/>
              </w:rPr>
            </w:pPr>
          </w:p>
        </w:tc>
        <w:tc>
          <w:tcPr>
            <w:tcW w:w="5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4"/>
                <w:szCs w:val="24"/>
                <w:color w:val="auto"/>
              </w:rPr>
            </w:pPr>
          </w:p>
        </w:tc>
        <w:tc>
          <w:tcPr>
            <w:tcW w:w="5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Borders>
              <w:bottom w:val="single" w:sz="8" w:color="auto"/>
            </w:tcBorders>
            <w:gridSpan w:val="2"/>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9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$000s</w:t>
            </w:r>
          </w:p>
        </w:tc>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Roche Holding AG</w:t>
            </w: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b w:val="1"/>
                <w:bCs w:val="1"/>
                <w:color w:val="auto"/>
                <w:w w:val="84"/>
              </w:rPr>
              <w:t>1,518</w:t>
            </w: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79"/>
              </w:rPr>
              <w:t>2,479</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Eli Lilly and Company</w:t>
            </w: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339</w:t>
            </w:r>
          </w:p>
        </w:tc>
        <w:tc>
          <w:tcPr>
            <w:tcW w:w="520" w:type="dxa"/>
            <w:vAlign w:val="bottom"/>
          </w:tcPr>
          <w:p>
            <w:pPr>
              <w:ind w:left="260"/>
              <w:spacing w:after="0"/>
              <w:rPr>
                <w:sz w:val="20"/>
                <w:szCs w:val="20"/>
                <w:color w:val="auto"/>
              </w:rPr>
            </w:pPr>
            <w:r>
              <w:rPr>
                <w:rFonts w:ascii="Arial" w:cs="Arial" w:eastAsia="Arial" w:hAnsi="Arial"/>
                <w:sz w:val="18"/>
                <w:szCs w:val="18"/>
                <w:color w:val="auto"/>
                <w:w w:val="73"/>
              </w:rPr>
              <w:t>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Boehringer Ingelheim International GMBH</w:t>
            </w:r>
          </w:p>
        </w:tc>
        <w:tc>
          <w:tcPr>
            <w:tcW w:w="9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2,398</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Imbrium Therapeutics L.P.</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1,148</w:t>
            </w:r>
          </w:p>
        </w:tc>
        <w:tc>
          <w:tcPr>
            <w:tcW w:w="520" w:type="dxa"/>
            <w:vAlign w:val="bottom"/>
          </w:tcPr>
          <w:p>
            <w:pPr>
              <w:ind w:left="260"/>
              <w:spacing w:after="0"/>
              <w:rPr>
                <w:sz w:val="20"/>
                <w:szCs w:val="20"/>
                <w:color w:val="auto"/>
              </w:rPr>
            </w:pPr>
            <w:r>
              <w:rPr>
                <w:rFonts w:ascii="Arial" w:cs="Arial" w:eastAsia="Arial" w:hAnsi="Arial"/>
                <w:sz w:val="18"/>
                <w:szCs w:val="18"/>
                <w:color w:val="auto"/>
                <w:w w:val="73"/>
              </w:rPr>
              <w:t>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5,403</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3,701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the second half of 2019, the Company deconsolidated one of its subsidiaries which resulted in a change to the composition of its reportable segments. Consequently, the Company revised the June 30, 2019 financial information to conform to the presentation as of and for the period ending June 30, 2020. The change in segments reflects how the Company’s Board of Directors reviews the Group’s results, allocates resources and assesses performance.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00"/>
          </w:cols>
          <w:pgMar w:left="320" w:top="459" w:right="5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About Reportable Segments: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center"/>
              <w:ind w:right="1"/>
              <w:spacing w:after="0"/>
              <w:rPr>
                <w:sz w:val="20"/>
                <w:szCs w:val="20"/>
                <w:color w:val="auto"/>
              </w:rPr>
            </w:pPr>
            <w:r>
              <w:rPr>
                <w:rFonts w:ascii="Arial" w:cs="Arial" w:eastAsia="Arial" w:hAnsi="Arial"/>
                <w:sz w:val="14"/>
                <w:szCs w:val="14"/>
                <w:b w:val="1"/>
                <w:bCs w:val="1"/>
                <w:color w:val="auto"/>
                <w:w w:val="94"/>
              </w:rPr>
              <w:t>Controlled</w:t>
            </w:r>
          </w:p>
        </w:tc>
        <w:tc>
          <w:tcPr>
            <w:tcW w:w="22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Parent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Controlled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94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Internal</w:t>
            </w:r>
          </w:p>
        </w:tc>
        <w:tc>
          <w:tcPr>
            <w:tcW w:w="82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Founded</w:t>
            </w:r>
          </w:p>
        </w:tc>
        <w:tc>
          <w:tcPr>
            <w:tcW w:w="22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Founded</w:t>
            </w:r>
          </w:p>
        </w:tc>
        <w:tc>
          <w:tcPr>
            <w:tcW w:w="24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Entities</w:t>
            </w:r>
          </w:p>
        </w:tc>
        <w:tc>
          <w:tcPr>
            <w:tcW w:w="2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2"/>
                <w:szCs w:val="12"/>
                <w:color w:val="auto"/>
              </w:rPr>
            </w:pPr>
          </w:p>
        </w:tc>
        <w:tc>
          <w:tcPr>
            <w:tcW w:w="11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94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$000s</w:t>
            </w:r>
          </w:p>
        </w:tc>
        <w:tc>
          <w:tcPr>
            <w:tcW w:w="82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2"/>
              </w:rPr>
              <w:t>$000s</w:t>
            </w:r>
          </w:p>
        </w:tc>
        <w:tc>
          <w:tcPr>
            <w:tcW w:w="22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$000s</w:t>
            </w:r>
          </w:p>
        </w:tc>
        <w:tc>
          <w:tcPr>
            <w:tcW w:w="24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$000s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2"/>
              </w:rPr>
              <w:t>June 30, 2020</w:t>
            </w:r>
          </w:p>
        </w:tc>
        <w:tc>
          <w:tcPr>
            <w:tcW w:w="1360" w:type="dxa"/>
            <w:vAlign w:val="bottom"/>
            <w:tcBorders>
              <w:top w:val="single" w:sz="8" w:color="auto"/>
              <w:bottom w:val="single" w:sz="8" w:color="auto"/>
            </w:tcBorders>
            <w:gridSpan w:val="3"/>
          </w:tcPr>
          <w:p>
            <w:pPr>
              <w:jc w:val="right"/>
              <w:ind w:right="1000"/>
              <w:spacing w:after="0" w:line="142" w:lineRule="exact"/>
              <w:rPr>
                <w:sz w:val="20"/>
                <w:szCs w:val="20"/>
                <w:color w:val="auto"/>
              </w:rPr>
            </w:pPr>
            <w:r>
              <w:rPr>
                <w:rFonts w:ascii="Arial" w:cs="Arial" w:eastAsia="Arial" w:hAnsi="Arial"/>
                <w:sz w:val="14"/>
                <w:szCs w:val="14"/>
                <w:b w:val="1"/>
                <w:bCs w:val="1"/>
                <w:color w:val="auto"/>
                <w:w w:val="87"/>
              </w:rPr>
              <w:t>$000s</w:t>
            </w: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Contract revenue</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3,916</w:t>
            </w:r>
          </w:p>
        </w:tc>
        <w:tc>
          <w:tcPr>
            <w:tcW w:w="8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1,549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5,465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1,379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1,379</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3,916</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(1,495)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(6,229)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(13,652)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(21,376)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8"/>
              </w:rPr>
              <w:t>(17,616)</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(20,594)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(38,250)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income/(expense)</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8"/>
              </w:rPr>
              <w:t>(15,195)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(23,895)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(13,692)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(52,782)</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Other income/(expense):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investments held at fair value</w:t>
            </w: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276,910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276,910</w:t>
            </w:r>
          </w:p>
        </w:tc>
        <w:tc>
          <w:tcPr>
            <w:tcW w:w="0" w:type="dxa"/>
            <w:vAlign w:val="bottom"/>
          </w:tcPr>
          <w:p>
            <w:pPr>
              <w:spacing w:after="0"/>
              <w:rPr>
                <w:sz w:val="1"/>
                <w:szCs w:val="1"/>
                <w:color w:val="auto"/>
              </w:rPr>
            </w:pPr>
          </w:p>
        </w:tc>
      </w:tr>
      <w:tr>
        <w:trPr>
          <w:trHeight w:val="216"/>
        </w:trPr>
        <w:tc>
          <w:tcPr>
            <w:tcW w:w="6080" w:type="dxa"/>
            <w:vAlign w:val="bottom"/>
          </w:tcPr>
          <w:p>
            <w:pPr>
              <w:ind w:left="720"/>
              <w:spacing w:after="0"/>
              <w:rPr>
                <w:sz w:val="20"/>
                <w:szCs w:val="20"/>
                <w:color w:val="auto"/>
              </w:rPr>
            </w:pPr>
            <w:r>
              <w:rPr>
                <w:rFonts w:ascii="Arial" w:cs="Arial" w:eastAsia="Arial" w:hAnsi="Arial"/>
                <w:sz w:val="18"/>
                <w:szCs w:val="18"/>
                <w:color w:val="auto"/>
              </w:rPr>
              <w:t>Loss realized on sale of investments</w:t>
            </w:r>
          </w:p>
        </w:tc>
        <w:tc>
          <w:tcPr>
            <w:tcW w:w="94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(44,539)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(44,539)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income/(expense)</w:t>
            </w: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482</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other income/(expense)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232,848</w:t>
            </w: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finance income/(costs)</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17</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1,765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6"/>
              </w:rPr>
              <w:t>Share of net income/(loss) of associates accounted for using the equity method</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(7,271)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(7,271)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from continuing operations</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8"/>
              </w:rPr>
              <w:t>(15,178)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(22,127)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211,788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174,483</w:t>
            </w:r>
          </w:p>
        </w:tc>
        <w:tc>
          <w:tcPr>
            <w:tcW w:w="0" w:type="dxa"/>
            <w:vAlign w:val="bottom"/>
          </w:tcPr>
          <w:p>
            <w:pPr>
              <w:spacing w:after="0"/>
              <w:rPr>
                <w:sz w:val="1"/>
                <w:szCs w:val="1"/>
                <w:color w:val="auto"/>
              </w:rPr>
            </w:pPr>
          </w:p>
        </w:tc>
      </w:tr>
      <w:tr>
        <w:trPr>
          <w:trHeight w:val="205"/>
        </w:trPr>
        <w:tc>
          <w:tcPr>
            <w:tcW w:w="6080" w:type="dxa"/>
            <w:vAlign w:val="bottom"/>
          </w:tcPr>
          <w:p>
            <w:pPr>
              <w:spacing w:after="0" w:line="205" w:lineRule="exact"/>
              <w:rPr>
                <w:sz w:val="20"/>
                <w:szCs w:val="20"/>
                <w:color w:val="auto"/>
              </w:rPr>
            </w:pPr>
            <w:r>
              <w:rPr>
                <w:rFonts w:ascii="Arial" w:cs="Arial" w:eastAsia="Arial" w:hAnsi="Arial"/>
                <w:sz w:val="18"/>
                <w:szCs w:val="18"/>
                <w:b w:val="1"/>
                <w:bCs w:val="1"/>
                <w:color w:val="auto"/>
                <w:w w:val="93"/>
              </w:rPr>
              <w:t>Income/(loss) before taxes pre IFRS 9 fair value accounting, finance costs—</w:t>
            </w:r>
          </w:p>
        </w:tc>
        <w:tc>
          <w:tcPr>
            <w:tcW w:w="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3"/>
              </w:rPr>
              <w:t>subsidiary preferred shares, share-based payment expense, depreciation</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of tangible assets and amortization of intangible assets</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8"/>
              </w:rPr>
              <w:t>(13,489)</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(21,617)</w:t>
            </w:r>
          </w:p>
        </w:tc>
        <w:tc>
          <w:tcPr>
            <w:tcW w:w="2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216,111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181,005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income/(costs)—IFRS 9 fair value accounting</w:t>
            </w: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1,866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(1,301)</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(2,900)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(5,206)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assets</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(388)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(641)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(1,227)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(50,774)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(50,775)</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Income/(loss)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(15,178)</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161,014</w:t>
            </w: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income/(loss)</w:t>
            </w:r>
          </w:p>
        </w:tc>
        <w:tc>
          <w:tcPr>
            <w:tcW w:w="9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(15,178</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161,014</w:t>
            </w: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attributable to:</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Owners of the Company</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8"/>
              </w:rPr>
              <w:t>(15,178)</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(21,873)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161,008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123,957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June 30, 2020</w:t>
            </w:r>
          </w:p>
        </w:tc>
        <w:tc>
          <w:tcPr>
            <w:tcW w:w="136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w w:val="87"/>
              </w:rPr>
              <w:t>$000s</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35,905</w:t>
            </w:r>
          </w:p>
        </w:tc>
        <w:tc>
          <w:tcPr>
            <w:tcW w:w="8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42,960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1,026,657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1,105,522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42,222</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156,024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140,398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338,644</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Net assets/(liabilities)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(113,064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886,259</w:t>
            </w: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080" w:type="dxa"/>
            <w:vAlign w:val="bottom"/>
          </w:tcPr>
          <w:p>
            <w:pPr>
              <w:ind w:left="5340"/>
              <w:spacing w:after="0"/>
              <w:rPr>
                <w:sz w:val="20"/>
                <w:szCs w:val="20"/>
                <w:color w:val="auto"/>
              </w:rPr>
            </w:pPr>
            <w:r>
              <w:rPr>
                <w:rFonts w:ascii="Arial" w:cs="Arial" w:eastAsia="Arial" w:hAnsi="Arial"/>
                <w:sz w:val="18"/>
                <w:szCs w:val="18"/>
                <w:color w:val="auto"/>
              </w:rPr>
              <w:t>F-88</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Controlled</w:t>
            </w:r>
          </w:p>
        </w:tc>
        <w:tc>
          <w:tcPr>
            <w:tcW w:w="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Controlled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Internal</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Founded</w:t>
            </w: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Founded</w:t>
            </w: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&amp; 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$000s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$000s</w:t>
            </w:r>
          </w:p>
        </w:tc>
        <w:tc>
          <w:tcPr>
            <w:tcW w:w="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$000s</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42"/>
        </w:trPr>
        <w:tc>
          <w:tcPr>
            <w:tcW w:w="140" w:type="dxa"/>
            <w:vAlign w:val="bottom"/>
            <w:tcBorders>
              <w:bottom w:val="single" w:sz="8" w:color="CCEEFF"/>
            </w:tcBorders>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6"/>
          </w:tcPr>
          <w:p>
            <w:pPr>
              <w:jc w:val="right"/>
              <w:ind w:right="940"/>
              <w:spacing w:after="0" w:line="142" w:lineRule="exact"/>
              <w:rPr>
                <w:sz w:val="20"/>
                <w:szCs w:val="20"/>
                <w:color w:val="auto"/>
              </w:rPr>
            </w:pPr>
            <w:r>
              <w:rPr>
                <w:rFonts w:ascii="Arial" w:cs="Arial" w:eastAsia="Arial" w:hAnsi="Arial"/>
                <w:sz w:val="14"/>
                <w:szCs w:val="14"/>
                <w:b w:val="1"/>
                <w:bCs w:val="1"/>
                <w:color w:val="auto"/>
                <w:w w:val="92"/>
              </w:rPr>
              <w:t>June 30, 2019 $000s</w:t>
            </w: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Contract revenue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2,479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213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revenue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213</w:t>
            </w: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(10,439)</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(29,196)</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(10,757)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(18,534)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(15,555)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(662)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(45,507)</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income/(expense)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(25,994)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(11,659)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(70,317)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Other income/(expense):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Gain on deconsolidation (restated)*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108,395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108,395</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60" w:type="dxa"/>
            <w:vAlign w:val="bottom"/>
          </w:tcPr>
          <w:p>
            <w:pPr>
              <w:ind w:left="580"/>
              <w:spacing w:after="0"/>
              <w:rPr>
                <w:sz w:val="20"/>
                <w:szCs w:val="20"/>
                <w:color w:val="auto"/>
              </w:rPr>
            </w:pPr>
            <w:r>
              <w:rPr>
                <w:rFonts w:ascii="Arial" w:cs="Arial" w:eastAsia="Arial" w:hAnsi="Arial"/>
                <w:sz w:val="18"/>
                <w:szCs w:val="18"/>
                <w:color w:val="auto"/>
              </w:rPr>
              <w:t>Gain/(loss) on investments held at fair value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52,375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52,375</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income/(expense)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other income/(expense) (restated)*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160,751</w:t>
            </w: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finance income/(costs)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(30,141)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(34,126)</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Income/(loss) from continuing operations (restated)*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(56,135)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149,207</w:t>
            </w: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(Loss)/income before taxes pre IFRS 9 fair value accounting, finance costs—</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subsidiary preferred shares, share-based payment expense, depreciation of</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tangible assets and amortization of intangible assets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(21,874)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152,205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99,939</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Finance income/(costs)—subsidiary preferred shares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income/(costs)—IFRS 9 fair value accounting</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(28,737)</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(32,978)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Share-based payment expense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(3,543)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(2,059)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tangible assets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Amortization of ROU assets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(868)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Taxation</w:t>
            </w: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(24,970)</w:t>
            </w:r>
          </w:p>
        </w:tc>
        <w:tc>
          <w:tcPr>
            <w:tcW w:w="3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(25,142)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Income/(loss) (restated)*</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(56,297)</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124,237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(56,380)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124,237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31,063</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comprehensive income/(loss) attributable to:</w:t>
            </w: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Owners of the Company (restated)*</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(19,428)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(32,073)</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124,237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73,424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(10,090)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(7,964)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(24,307)</w:t>
            </w: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0" w:type="dxa"/>
            <w:vAlign w:val="bottom"/>
            <w:tcBorders>
              <w:bottom w:val="single" w:sz="8" w:color="CCEEFF"/>
            </w:tcBorders>
          </w:tcPr>
          <w:p>
            <w:pPr>
              <w:spacing w:after="0"/>
              <w:rPr>
                <w:sz w:val="24"/>
                <w:szCs w:val="24"/>
                <w:color w:val="auto"/>
              </w:rPr>
            </w:pPr>
          </w:p>
        </w:tc>
        <w:tc>
          <w:tcPr>
            <w:tcW w:w="606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7"/>
              </w:rPr>
              <w:t>$000s</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17,614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54,730</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868,834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941,178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146,054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134,673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290,780</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Net (liabilities)/assets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(91,324)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734,161</w:t>
            </w: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060" w:type="dxa"/>
            <w:vAlign w:val="bottom"/>
          </w:tcPr>
          <w:p>
            <w:pPr>
              <w:ind w:left="280"/>
              <w:spacing w:after="0"/>
              <w:rPr>
                <w:sz w:val="20"/>
                <w:szCs w:val="20"/>
                <w:color w:val="auto"/>
              </w:rPr>
            </w:pPr>
            <w:r>
              <w:rPr>
                <w:rFonts w:ascii="Arial" w:cs="Arial" w:eastAsia="Arial" w:hAnsi="Arial"/>
                <w:sz w:val="18"/>
                <w:szCs w:val="18"/>
                <w:color w:val="auto"/>
              </w:rPr>
              <w:t>See Note 2</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6060" w:type="dxa"/>
            <w:vAlign w:val="bottom"/>
          </w:tcPr>
          <w:p>
            <w:pPr>
              <w:ind w:left="5200"/>
              <w:spacing w:after="0"/>
              <w:rPr>
                <w:sz w:val="20"/>
                <w:szCs w:val="20"/>
                <w:color w:val="auto"/>
              </w:rPr>
            </w:pPr>
            <w:r>
              <w:rPr>
                <w:rFonts w:ascii="Arial" w:cs="Arial" w:eastAsia="Arial" w:hAnsi="Arial"/>
                <w:sz w:val="18"/>
                <w:szCs w:val="18"/>
                <w:color w:val="auto"/>
              </w:rPr>
              <w:t>F-89</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Investments held at fair value</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Investments held at fair value include both unquoted nonpublic investments and quoted public investments held by PureTech. These investments, which include Akili, Vor, Karuna, Gelesis (other than the investment in common shares), resTORbio and other insignificant investments, are initially measured at fair value and are subsequently re-measured at fair value at each reporting date. Interests in these investments are accounted for as investments held at fair value, as shown below:</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Investments held at fair value</w:t>
            </w:r>
          </w:p>
        </w:tc>
        <w:tc>
          <w:tcPr>
            <w:tcW w:w="4860" w:type="dxa"/>
            <w:vAlign w:val="bottom"/>
          </w:tcPr>
          <w:p>
            <w:pPr>
              <w:spacing w:after="0"/>
              <w:rPr>
                <w:sz w:val="16"/>
                <w:szCs w:val="16"/>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$000’s</w:t>
            </w: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714,905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Sale of Karuna shares</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(245,922)</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resTORbio shares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(3,048)</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Loss realised on sale of investments</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(44,539)</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purchase of Gelesis preferred shares</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Cash purchase of Vor preferred shares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Gain/(loss)—fair value through profit and loss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276,910</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As of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709,456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On April 1, 2020, PureTech participated in the 2nd closing of Gelesis’s Series 3 Growth Preferred Share financing. For consideration of $10.0 million, PureTech received 579,038 Series 3 Growth shares. During the six months ended June 30, 2020, the Company recognized a gain of $2.4 million related to the preferred shares and warrants that was recorded in the line item Gain/(loss) on investments held at fair value within the Condensed Consolidated Statement of Income/(Loss) and Other Comprehensive Income/(Loss). Please refer to Note 13 for information regarding the valuation of these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Vor</w:t>
      </w:r>
    </w:p>
    <w:p>
      <w:pPr>
        <w:spacing w:after="0" w:line="121"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On February 12, 2020, PureTech participated in the 2nd closing of Vor’s Series A-2 Preferred Share financing. For consideration of $0.7 million, PureTech received 1,625,000 A-2 shares. On June 30, 2020, PureTech participated in the 1st closing of Vor’s Series B Preferred Share financing. For consideration of $0.5 million, PureTech received 961,538 shares. Additionally, during the six months ended June 30, 2020 the Company recognized a fair value loss of $1.4 million that was recorded in the line item Gain/(loss) on investments held at fair value within the Condensed Consolidated Statement of Income/(Loss) and Other Comprehensive Income/(Loss). Please refer to Note 13 for information regarding the valuation of these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w:t>
      </w:r>
    </w:p>
    <w:p>
      <w:pPr>
        <w:spacing w:after="0" w:line="121" w:lineRule="exact"/>
        <w:rPr>
          <w:sz w:val="20"/>
          <w:szCs w:val="20"/>
          <w:color w:val="auto"/>
        </w:rPr>
      </w:pPr>
    </w:p>
    <w:p>
      <w:pPr>
        <w:ind w:left="120" w:right="700"/>
        <w:spacing w:after="0" w:line="291" w:lineRule="auto"/>
        <w:rPr>
          <w:sz w:val="20"/>
          <w:szCs w:val="20"/>
          <w:color w:val="auto"/>
        </w:rPr>
      </w:pPr>
      <w:r>
        <w:rPr>
          <w:rFonts w:ascii="Arial" w:cs="Arial" w:eastAsia="Arial" w:hAnsi="Arial"/>
          <w:sz w:val="16"/>
          <w:szCs w:val="16"/>
          <w:color w:val="auto"/>
        </w:rPr>
        <w:t>On January 22, 2020, PureTech sold 2,100,000 shares of Karuna for aggregate proceeds of $200.9 million. On May 26, 2020, PureTech sold an additional 555,500 Karuna common shares for aggregate proceeds of $45.0 million. As a result of the sales, the Company recorded a loss of</w:t>
      </w:r>
    </w:p>
    <w:p>
      <w:pPr>
        <w:ind w:left="120"/>
        <w:spacing w:after="0" w:line="252" w:lineRule="auto"/>
        <w:rPr>
          <w:sz w:val="20"/>
          <w:szCs w:val="20"/>
          <w:color w:val="auto"/>
        </w:rPr>
      </w:pPr>
      <w:r>
        <w:rPr>
          <w:rFonts w:ascii="Arial" w:cs="Arial" w:eastAsia="Arial" w:hAnsi="Arial"/>
          <w:sz w:val="18"/>
          <w:szCs w:val="18"/>
          <w:color w:val="auto"/>
        </w:rPr>
        <w:t>$44.3 million attributable to blockage discount included in the sales price, to the line item Loss Realized on Sale of Investment within the Condensed Consolidated Statement of Income/ (Loss) and Other Comprehensive Income/ (Loss). Additionally, during the six months ended June 30, 2020 and 2019 the Company recognized a gain of $261.4 million and $40.6 million, respectively that was recorded on the line item Gain/(loss) on investments held at fair value within the Condensed Consolidated Statement of Income/(Loss) and Other Comprehensive Income/(Loss). As of June 30, 2020, PureTech continued to hold 4,739,897 Karuna common shares or 17.8 per cent of total outstanding Karuna common shares. Please refer to Note 13 for information regarding the valuation of these instruments.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Akili</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During the six months ended June 30, 2020 and 2019, the Company recognized a gain of $14.3 million and a loss of $3.9 million, respectively, that was recorded on the line item Gain/(loss) on investments held at fair value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20"/>
          </w:cols>
          <w:pgMar w:left="320" w:top="459" w:right="4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within the Condensed Consolidated Statement of Income/(Loss) and Other Comprehensive Income/(Loss). Please refer to Note 13 for information regarding the valuation of these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resTORbio</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April 2020, PureTech sold its remaining 2,119,696 resTORbio common shares, for aggregate proceeds of $3.0 million. As a result of the sale, the Company recorded a loss of $0.2 million attributable to blockage discount included in the sales price, to the line item Loss Realized on Sale of Investment within the Condensed Consolidated Statement of Income/ (Loss) and Other Comprehensive Income/ (Loss). Additionally, during the six months ended June 30, 2020 and 2019, the Company recognized a loss of $0.1 million and gain of $15.5 million, respectively, that was recorded on the line item Gain/(loss) on investments held at fair value within the Condensed Consolidated Statement of Income/(Loss) and Other Comprehensive Income/(Loss). Please refer to Note 13 for information regarding the valuation of these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deconsolidation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gain on deconsolidation recognized by the Company:</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137"/>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(restated) *</w:t>
            </w:r>
          </w:p>
        </w:tc>
        <w:tc>
          <w:tcPr>
            <w:tcW w:w="0" w:type="dxa"/>
            <w:vAlign w:val="bottom"/>
          </w:tcPr>
          <w:p>
            <w:pPr>
              <w:spacing w:after="0"/>
              <w:rPr>
                <w:sz w:val="1"/>
                <w:szCs w:val="1"/>
                <w:color w:val="auto"/>
              </w:rPr>
            </w:pPr>
          </w:p>
        </w:tc>
      </w:tr>
      <w:tr>
        <w:trPr>
          <w:trHeight w:val="158"/>
        </w:trPr>
        <w:tc>
          <w:tcPr>
            <w:tcW w:w="6840" w:type="dxa"/>
            <w:vAlign w:val="bottom"/>
            <w:gridSpan w:val="2"/>
            <w:vMerge w:val="continue"/>
          </w:tcPr>
          <w:p>
            <w:pPr>
              <w:spacing w:after="0"/>
              <w:rPr>
                <w:sz w:val="13"/>
                <w:szCs w:val="13"/>
                <w:color w:val="auto"/>
              </w:rPr>
            </w:pPr>
          </w:p>
        </w:tc>
        <w:tc>
          <w:tcPr>
            <w:tcW w:w="38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000s</w:t>
            </w:r>
          </w:p>
        </w:tc>
        <w:tc>
          <w:tcPr>
            <w:tcW w:w="360" w:type="dxa"/>
            <w:vAlign w:val="bottom"/>
          </w:tcPr>
          <w:p>
            <w:pPr>
              <w:spacing w:after="0"/>
              <w:rPr>
                <w:sz w:val="13"/>
                <w:szCs w:val="13"/>
                <w:color w:val="auto"/>
              </w:rPr>
            </w:pPr>
          </w:p>
        </w:tc>
        <w:tc>
          <w:tcPr>
            <w:tcW w:w="78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Gain on deconsolidation of Vor</w:t>
            </w:r>
          </w:p>
        </w:tc>
        <w:tc>
          <w:tcPr>
            <w:tcW w:w="3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Gain on deconsolidation of Karuna</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gain on deconsolidation</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See Note 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Share-based Payments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Share-based payments includes stock options, restricted stock units (“RSUs”) as well as service, market and performance-based RSU awards, all in which the expense is recognized based on the grant date fair value of the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Payment Expense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Group’s share-based payment expense for the six months ended June 30, 2020 and 2019, were comprised of charges related to the PureTech Health plc incentive stock and stock option issuances and subsidiary stock plans.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provides the classification of the Group’s consolidated share-based payment expense as reflected in the Condensed Consolidated Statement of Income/(Loss):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Six months ended June 30,</w:t>
            </w:r>
          </w:p>
        </w:tc>
        <w:tc>
          <w:tcPr>
            <w:tcW w:w="520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6"/>
                <w:szCs w:val="16"/>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General and administrative</w:t>
            </w:r>
          </w:p>
        </w:tc>
        <w:tc>
          <w:tcPr>
            <w:tcW w:w="5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b w:val="1"/>
                <w:bCs w:val="1"/>
                <w:color w:val="auto"/>
                <w:w w:val="84"/>
              </w:rPr>
              <w:t>3,522</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3,847</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1,684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2,544</w:t>
            </w:r>
          </w:p>
        </w:tc>
      </w:tr>
      <w:tr>
        <w:trPr>
          <w:trHeight w:val="27"/>
        </w:trPr>
        <w:tc>
          <w:tcPr>
            <w:tcW w:w="16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5,206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r>
      <w:tr>
        <w:trPr>
          <w:trHeight w:val="20"/>
        </w:trPr>
        <w:tc>
          <w:tcPr>
            <w:tcW w:w="16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Performance Share Plan</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June 2015, the Group adopted the Performance Stock Plan (“PSP”). Under the PSP and subsequent amendments, awards of ordinary shares may be made to the Directors, senior managers and employees of, and other individuals providing services to the Company and its subsidiaries up to a maximum authorized amount of 10 percent of the total ordinary shares outstanding. The shares have various vesting terms over a period of service between two and four years, provided the recipient remains continuously engaged as a service provider.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040"/>
          </w:cols>
          <w:pgMar w:left="320" w:top="459" w:right="5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share-based awards granted under the PSP are equity settled and expire 10 years from the grant date. As of the six months ended June 30, 2020, the Company had granted share-based awards of 8,592,307 stock options and 4,636,347 RSUs, net of forfeitures, exercises and issued RSU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six months ended June 30, 2020 and 2019, the Company issued no new service, market and performance based RSUs under the PSP.</w:t>
      </w:r>
    </w:p>
    <w:p>
      <w:pPr>
        <w:spacing w:after="0" w:line="248"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Each RSU entitles the holder to one ordinary share on vesting and the RSU awards are based on a cliff vesting schedule over a three-year requisite service period in which the Company recognizes compensation expense. Following vesting, each recipient will be required to make a payment of one pence per ordinary share on settlement of the RSUs. Vesting of the RSUs is subject to the satisfaction of service, market and performance conditions.</w:t>
      </w:r>
    </w:p>
    <w:p>
      <w:pPr>
        <w:spacing w:after="0" w:line="14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recognizes the estimated fair value of service, market and performance-based awards as share-based compensation expense over the vesting period based upon its determination of whether it is probable that the performance targets will be achieved. The Company assesses the probability of achieving the performance targets at each reporting period. Cumulative adjustments, if any, are recorded to reflect subsequent changes in the estimated outcome of performance-related conditions.</w:t>
      </w:r>
    </w:p>
    <w:p>
      <w:pPr>
        <w:spacing w:after="0" w:line="187"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The fair value of the market-based awards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service, market and performance conditions attached to the 2019 RSU awards awarded in December 2019 are based on the achievement of total shareholder return (“TSR”), with 50 percent of the shares under award vesting based on the achievement of absolute TSR targets, 12.5 percent of the shares under the award vesting based on TSR as compared to the FTSE 250 Index, 12.5 percent of the shares under the award vesting based on TSR as compared to the MSCI Europe Health Care Index, and 25.0 percent of the shares under the award vesting based on the achievement of strategic targets. The RSU award criteria have changed over time as the criteria is continually evaluated by the Group’s Remuneration Committee.</w:t>
      </w:r>
    </w:p>
    <w:p>
      <w:pPr>
        <w:spacing w:after="0" w:line="16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2017, the Company granted certain executives RSUs that vested based on service, market and performance conditions. The vesting of all RSUs was achieved by December 31, 2019 where all service, market and performance conditions were met. The remuneration committee of PureTech’s board of directors approved the achievement of the vesting conditions as of December 31, 2019 and reached the decision to cash settle the 2017 RSUs. The settlement value was determined based on the 3 day average closing price of the shares. The settlement value was $12.5 million. The settlement value did not exceed the fair value at settlement date and as such the cash settlement was treated as an equity transaction, whereby the full repurchase cash settlement amount was charged to equity in Other reserves.</w:t>
      </w:r>
    </w:p>
    <w:p>
      <w:pPr>
        <w:spacing w:after="0" w:line="1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incurred share-based payment expenses for performance based RSUs of $2.7 million and $1.3 million for the six 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six months ended June 30, 2020 and 2019, the Company granted 665,392 and 1,274,388 stock option awards under the PSP, respectively.</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040"/>
          </w:cols>
          <w:pgMar w:left="320" w:top="459" w:right="5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color w:val="auto"/>
        </w:rPr>
        <w:t>The fair value of the stock options awarded by the Company was estimated at the grant date using the Black-Scholes option valuation model, considering the terms and conditions upon which options were granted, with the following weighted- average assumptions:</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For the six months ended June 30,</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6"/>
                <w:szCs w:val="16"/>
                <w:color w:val="auto"/>
              </w:rPr>
            </w:pPr>
          </w:p>
        </w:tc>
      </w:tr>
      <w:tr>
        <w:trPr>
          <w:trHeight w:val="203"/>
        </w:trPr>
        <w:tc>
          <w:tcPr>
            <w:tcW w:w="1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Expected volatility</w:t>
            </w:r>
          </w:p>
        </w:tc>
        <w:tc>
          <w:tcPr>
            <w:tcW w:w="4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39.00</w:t>
            </w:r>
          </w:p>
        </w:tc>
        <w:tc>
          <w:tcPr>
            <w:tcW w:w="860" w:type="dxa"/>
            <w:vAlign w:val="bottom"/>
            <w:tcBorders>
              <w:top w:val="single" w:sz="8" w:color="CCEEFF"/>
            </w:tcBorders>
            <w:shd w:val="clear" w:color="auto" w:fill="CCEEFF"/>
          </w:tcPr>
          <w:p>
            <w:pPr>
              <w:jc w:val="right"/>
              <w:ind w:right="590"/>
              <w:spacing w:after="0" w:line="203" w:lineRule="exact"/>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36.00</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4"/>
              </w:rPr>
              <w:t>Expected terms (in years)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5.65</w:t>
            </w:r>
          </w:p>
        </w:tc>
        <w:tc>
          <w:tcPr>
            <w:tcW w:w="8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5.47</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0.75 %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0.89</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Share price at grant date</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2.97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2.49</w:t>
            </w:r>
          </w:p>
        </w:tc>
      </w:tr>
      <w:tr>
        <w:trPr>
          <w:trHeight w:val="216"/>
        </w:trPr>
        <w:tc>
          <w:tcPr>
            <w:tcW w:w="19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of June 30, 2020, 5,186,804 incentive options are exercisable with a weighted-average exercise price of $1.51. Exercise prices ranged from $0.01 to $3.61.</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incurred share-based payment expenses for incentive options of $1.5 million and $0.9 million for the six months ended June 30,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Subsidiary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subsidiaries incurred $1.0 million and $4.3 million in share-based payment expense for the six months ended June 30, 2020 and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Vedanta 2010 Stock Incentive Plan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2010, the Board of Directors for Vedanta approved the 2010 Stock Incentive Plan (the “Vedanta Plan”). Through subsequent amendments, as of June 30, 2020, it allowed for the issuance of 2,145,867 share-based compensation awards through incentive share options, nonqualified share options, and restricted shares to employees, directors, and nonemployees providing services to Vedanta. At June 30, 2020, 380,723 shares remained available for issuance under the Vedanta Plan.</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options granted under Vedanta Plan are equity settled and expire 10 years from the grant date. Typically, the awards vest in four years but vesting conditions can vary based on the discretion of Vedanta’s Board of Directors.</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Options granted under the Vedanta Plan are exercisable at a price per share not less than the fair market value of the underlying ordinary shares on the date of grant. The estimated fair value of options, including the effect of estimated forfeitures, is recognized over the options’ vesting period.</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fair value of the stock option grants has been estimated at the date of grant using the Black-Scholes option pricing model, with the following weighted-average assumptions: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For the six months ended June 30,</w:t>
            </w:r>
          </w:p>
        </w:tc>
        <w:tc>
          <w:tcPr>
            <w:tcW w:w="5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5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shd w:val="clear" w:color="auto" w:fill="CCEEFF"/>
          </w:tcPr>
          <w:p>
            <w:pPr>
              <w:spacing w:after="0"/>
              <w:rPr>
                <w:sz w:val="17"/>
                <w:szCs w:val="17"/>
                <w:color w:val="auto"/>
              </w:rPr>
            </w:pPr>
          </w:p>
        </w:tc>
        <w:tc>
          <w:tcPr>
            <w:tcW w:w="45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b w:val="1"/>
                <w:bCs w:val="1"/>
                <w:color w:val="auto"/>
              </w:rPr>
              <w:t>78.24%</w:t>
            </w:r>
          </w:p>
        </w:tc>
        <w:tc>
          <w:tcPr>
            <w:tcW w:w="7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4"/>
              </w:rPr>
              <w:t>Expected terms (in years)</w:t>
            </w:r>
          </w:p>
        </w:tc>
        <w:tc>
          <w:tcPr>
            <w:tcW w:w="57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6.00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5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5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w:t>
            </w:r>
          </w:p>
        </w:tc>
        <w:tc>
          <w:tcPr>
            <w:tcW w:w="5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$13.13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$13.98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Share price at grant date</w:t>
            </w:r>
          </w:p>
        </w:tc>
        <w:tc>
          <w:tcPr>
            <w:tcW w:w="57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$19.59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$18.71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Vedanta incurred share-based compensation expense of $0.8 million for six months ended June 30, 2020.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00"/>
          </w:cols>
          <w:pgMar w:left="320" w:top="459" w:right="4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Subsidiary Plans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stock-based compensation expense under plans at other subsidiaries of the Group not including Vedanta, was $0.2 million for the six months ended June 30,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Finance Cost,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finance income and costs: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71"/>
        </w:trPr>
        <w:tc>
          <w:tcPr>
            <w:tcW w:w="94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$000s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$000s</w:t>
            </w:r>
          </w:p>
        </w:tc>
      </w:tr>
      <w:tr>
        <w:trPr>
          <w:trHeight w:val="196"/>
        </w:trPr>
        <w:tc>
          <w:tcPr>
            <w:tcW w:w="9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Interest from financial assets not at fair value through profit or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9"/>
                <w:szCs w:val="19"/>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r>
      <w:tr>
        <w:trPr>
          <w:trHeight w:val="223"/>
        </w:trPr>
        <w:tc>
          <w:tcPr>
            <w:tcW w:w="9460" w:type="dxa"/>
            <w:vAlign w:val="bottom"/>
          </w:tcPr>
          <w:p>
            <w:pPr>
              <w:spacing w:after="0"/>
              <w:rPr>
                <w:sz w:val="20"/>
                <w:szCs w:val="20"/>
                <w:color w:val="auto"/>
              </w:rPr>
            </w:pPr>
            <w:r>
              <w:rPr>
                <w:rFonts w:ascii="Arial" w:cs="Arial" w:eastAsia="Arial" w:hAnsi="Arial"/>
                <w:sz w:val="18"/>
                <w:szCs w:val="18"/>
                <w:b w:val="1"/>
                <w:bCs w:val="1"/>
                <w:color w:val="auto"/>
              </w:rPr>
              <w:t>Finance costs</w:t>
            </w: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 on notes payable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(2,032)</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Gain/(loss) on foreign currency exchange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Total finance income/(costs)—contractual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(1,213)</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0"/>
                <w:szCs w:val="20"/>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Gain/(loss) from change in fair value of warrant liability</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(6,664)</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Gain/(loss) from change in fair value of preferred share and convertible note liability</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(26,314)</w:t>
            </w:r>
          </w:p>
        </w:tc>
      </w:tr>
      <w:tr>
        <w:trPr>
          <w:trHeight w:val="27"/>
        </w:trPr>
        <w:tc>
          <w:tcPr>
            <w:tcW w:w="9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income/(costs)—fair value accounting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(32,978)</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Total finance income/(costs)—subsidiary preferred shares</w:t>
            </w: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r>
      <w:tr>
        <w:trPr>
          <w:trHeight w:val="27"/>
        </w:trPr>
        <w:tc>
          <w:tcPr>
            <w:tcW w:w="9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income/(costs),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(34,126)</w:t>
            </w:r>
          </w:p>
        </w:tc>
      </w:tr>
      <w:tr>
        <w:trPr>
          <w:trHeight w:val="20"/>
        </w:trPr>
        <w:tc>
          <w:tcPr>
            <w:tcW w:w="9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Earnings/(Loss) per Share</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Basic earnings/(loss) per share is computed by dividing the income/(loss) attributable to the Company and available to ordinary shareholders by the weighted average number of ordinary shares. Dilutive earnings/loss per share is computed by dividing the income/(loss) attributable to the Company and available to ordinary shareholders by the sum of the weighted average number of ordinary shares and the number of additional ordinary shares that would have been outstanding if the Company’s outstanding potentially dilutive securities had been issued.</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earnings/(loss) per ordinary shares for the periods presented (in thousands, except for shares and per share amounts):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1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Restated *</w:t>
            </w:r>
          </w:p>
        </w:tc>
        <w:tc>
          <w:tcPr>
            <w:tcW w:w="0" w:type="dxa"/>
            <w:vAlign w:val="bottom"/>
          </w:tcPr>
          <w:p>
            <w:pPr>
              <w:spacing w:after="0"/>
              <w:rPr>
                <w:sz w:val="1"/>
                <w:szCs w:val="1"/>
                <w:color w:val="auto"/>
              </w:rPr>
            </w:pP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Income/(loss) attributable to the owners of the Company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123,957</w:t>
            </w: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73,506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Weighted average ordinary shares for basic earnings per ordinary share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285,487,375</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282,493,867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8,170,249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3,167,815</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Weighted average ordinary shares for diluted earnings per ordinary share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293,657,624</w:t>
            </w:r>
          </w:p>
        </w:tc>
        <w:tc>
          <w:tcPr>
            <w:tcW w:w="1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285,661,682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Diluted earnings per ordinary share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See Note 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Property and Equipment</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4"/>
                <w:szCs w:val="14"/>
                <w:color w:val="auto"/>
                <w:w w:val="95"/>
              </w:rPr>
              <w:t>Laboratory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Computer</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Furniture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95"/>
              </w:rPr>
              <w:t>Equipment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Construction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6"/>
              </w:rPr>
              <w:t>Manufacturing</w:t>
            </w:r>
          </w:p>
        </w:tc>
        <w:tc>
          <w:tcPr>
            <w:tcW w:w="22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85"/>
              </w:rPr>
              <w:t>and</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Leasehold</w:t>
            </w:r>
          </w:p>
        </w:tc>
        <w:tc>
          <w:tcPr>
            <w:tcW w:w="8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2460" w:type="dxa"/>
            <w:vAlign w:val="bottom"/>
            <w:gridSpan w:val="2"/>
            <w:vMerge w:val="restart"/>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95"/>
              </w:rPr>
              <w:t>Equipment</w:t>
            </w:r>
          </w:p>
        </w:tc>
        <w:tc>
          <w:tcPr>
            <w:tcW w:w="22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Fixtures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94"/>
              </w:rPr>
              <w:t>Software</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Improvements</w:t>
            </w:r>
          </w:p>
        </w:tc>
        <w:tc>
          <w:tcPr>
            <w:tcW w:w="8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5"/>
              </w:rPr>
              <w:t>process</w:t>
            </w: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3"/>
          </w:tcPr>
          <w:p>
            <w:pPr>
              <w:jc w:val="center"/>
              <w:ind w:left="159"/>
              <w:spacing w:after="0" w:line="154" w:lineRule="exact"/>
              <w:rPr>
                <w:sz w:val="20"/>
                <w:szCs w:val="20"/>
                <w:color w:val="auto"/>
              </w:rPr>
            </w:pPr>
            <w:r>
              <w:rPr>
                <w:rFonts w:ascii="Arial" w:cs="Arial" w:eastAsia="Arial" w:hAnsi="Arial"/>
                <w:sz w:val="14"/>
                <w:szCs w:val="14"/>
                <w:color w:val="auto"/>
                <w:w w:val="89"/>
              </w:rPr>
              <w:t>$000s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3"/>
          </w:tcPr>
          <w:p>
            <w:pPr>
              <w:jc w:val="center"/>
              <w:spacing w:after="0" w:line="154" w:lineRule="exact"/>
              <w:rPr>
                <w:sz w:val="20"/>
                <w:szCs w:val="20"/>
                <w:color w:val="auto"/>
              </w:rPr>
            </w:pPr>
            <w:r>
              <w:rPr>
                <w:rFonts w:ascii="Arial" w:cs="Arial" w:eastAsia="Arial" w:hAnsi="Arial"/>
                <w:sz w:val="14"/>
                <w:szCs w:val="14"/>
                <w:color w:val="auto"/>
                <w:w w:val="89"/>
              </w:rPr>
              <w:t>$000s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4"/>
          </w:tcPr>
          <w:p>
            <w:pPr>
              <w:jc w:val="right"/>
              <w:ind w:right="460"/>
              <w:spacing w:after="0" w:line="154" w:lineRule="exact"/>
              <w:rPr>
                <w:sz w:val="20"/>
                <w:szCs w:val="20"/>
                <w:color w:val="auto"/>
              </w:rPr>
            </w:pPr>
            <w:r>
              <w:rPr>
                <w:rFonts w:ascii="Arial" w:cs="Arial" w:eastAsia="Arial" w:hAnsi="Arial"/>
                <w:sz w:val="14"/>
                <w:szCs w:val="14"/>
                <w:color w:val="auto"/>
              </w:rPr>
              <w:t>$000s</w:t>
            </w: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4"/>
              </w:rPr>
              <w:t>$000s</w:t>
            </w:r>
          </w:p>
        </w:tc>
        <w:tc>
          <w:tcPr>
            <w:tcW w:w="80" w:type="dxa"/>
            <w:vAlign w:val="bottom"/>
          </w:tcPr>
          <w:p>
            <w:pPr>
              <w:spacing w:after="0"/>
              <w:rPr>
                <w:sz w:val="15"/>
                <w:szCs w:val="15"/>
                <w:color w:val="auto"/>
              </w:rPr>
            </w:pPr>
          </w:p>
        </w:tc>
        <w:tc>
          <w:tcPr>
            <w:tcW w:w="1140" w:type="dxa"/>
            <w:vAlign w:val="bottom"/>
            <w:gridSpan w:val="3"/>
          </w:tcPr>
          <w:p>
            <w:pPr>
              <w:jc w:val="center"/>
              <w:ind w:right="400"/>
              <w:spacing w:after="0" w:line="154" w:lineRule="exact"/>
              <w:rPr>
                <w:sz w:val="20"/>
                <w:szCs w:val="20"/>
                <w:color w:val="auto"/>
              </w:rPr>
            </w:pPr>
            <w:r>
              <w:rPr>
                <w:rFonts w:ascii="Arial" w:cs="Arial" w:eastAsia="Arial" w:hAnsi="Arial"/>
                <w:sz w:val="14"/>
                <w:szCs w:val="14"/>
                <w:color w:val="auto"/>
                <w:w w:val="89"/>
              </w:rPr>
              <w:t>$000s</w:t>
            </w:r>
          </w:p>
        </w:tc>
        <w:tc>
          <w:tcPr>
            <w:tcW w:w="60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9"/>
              </w:rPr>
              <w:t>Balance as of December 31, 2018</w:t>
            </w:r>
          </w:p>
        </w:tc>
        <w:tc>
          <w:tcPr>
            <w:tcW w:w="1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7,306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488</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1,431</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4,924</w:t>
            </w: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14,388</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Additions, net of transfers</w:t>
            </w:r>
          </w:p>
        </w:tc>
        <w:tc>
          <w:tcPr>
            <w:tcW w:w="3380" w:type="dxa"/>
            <w:vAlign w:val="bottom"/>
            <w:gridSpan w:val="8"/>
          </w:tcPr>
          <w:p>
            <w:pPr>
              <w:jc w:val="right"/>
              <w:ind w:right="80"/>
              <w:spacing w:after="0"/>
              <w:rPr>
                <w:sz w:val="20"/>
                <w:szCs w:val="20"/>
                <w:color w:val="auto"/>
              </w:rPr>
            </w:pPr>
            <w:r>
              <w:rPr>
                <w:rFonts w:ascii="Arial" w:cs="Arial" w:eastAsia="Arial" w:hAnsi="Arial"/>
                <w:sz w:val="18"/>
                <w:szCs w:val="18"/>
                <w:color w:val="auto"/>
              </w:rPr>
              <w:t>3,374</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8"/>
                <w:szCs w:val="18"/>
                <w:color w:val="auto"/>
              </w:rPr>
            </w:pPr>
          </w:p>
        </w:tc>
        <w:tc>
          <w:tcPr>
            <w:tcW w:w="1140" w:type="dxa"/>
            <w:vAlign w:val="bottom"/>
            <w:gridSpan w:val="6"/>
          </w:tcPr>
          <w:p>
            <w:pPr>
              <w:jc w:val="right"/>
              <w:ind w:right="300"/>
              <w:spacing w:after="0"/>
              <w:rPr>
                <w:sz w:val="20"/>
                <w:szCs w:val="20"/>
                <w:color w:val="auto"/>
              </w:rPr>
            </w:pPr>
            <w:r>
              <w:rPr>
                <w:rFonts w:ascii="Arial" w:cs="Arial" w:eastAsia="Arial" w:hAnsi="Arial"/>
                <w:sz w:val="18"/>
                <w:szCs w:val="18"/>
                <w:color w:val="auto"/>
              </w:rPr>
              <w:t>175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13,494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22,819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338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40" w:type="dxa"/>
            <w:vAlign w:val="bottom"/>
            <w:tcBorders>
              <w:right w:val="single" w:sz="8" w:color="CCEEFF"/>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Deconsolidation of subsidiaries</w:t>
            </w:r>
          </w:p>
        </w:tc>
        <w:tc>
          <w:tcPr>
            <w:tcW w:w="3380" w:type="dxa"/>
            <w:vAlign w:val="bottom"/>
            <w:gridSpan w:val="8"/>
          </w:tcPr>
          <w:p>
            <w:pPr>
              <w:jc w:val="right"/>
              <w:ind w:right="20"/>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6"/>
          </w:tcPr>
          <w:p>
            <w:pPr>
              <w:jc w:val="right"/>
              <w:ind w:right="240"/>
              <w:spacing w:after="0"/>
              <w:rPr>
                <w:sz w:val="20"/>
                <w:szCs w:val="20"/>
                <w:color w:val="auto"/>
              </w:rPr>
            </w:pPr>
            <w:r>
              <w:rPr>
                <w:rFonts w:ascii="Arial" w:cs="Arial" w:eastAsia="Arial" w:hAnsi="Arial"/>
                <w:sz w:val="18"/>
                <w:szCs w:val="18"/>
                <w:color w:val="auto"/>
              </w:rPr>
              <w:t>(137)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(754)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(4,190)</w:t>
            </w:r>
          </w:p>
        </w:tc>
        <w:tc>
          <w:tcPr>
            <w:tcW w:w="3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Balance as of December 31, 2019</w:t>
            </w:r>
          </w:p>
        </w:tc>
        <w:tc>
          <w:tcPr>
            <w:tcW w:w="2440" w:type="dxa"/>
            <w:vAlign w:val="bottom"/>
            <w:gridSpan w:val="3"/>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28,647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gridSpan w:val="3"/>
          </w:tcPr>
          <w:p>
            <w:pPr>
              <w:spacing w:after="0"/>
              <w:rPr>
                <w:sz w:val="20"/>
                <w:szCs w:val="20"/>
                <w:color w:val="auto"/>
              </w:rPr>
            </w:pPr>
            <w:r>
              <w:rPr>
                <w:rFonts w:ascii="Arial" w:cs="Arial" w:eastAsia="Arial" w:hAnsi="Arial"/>
                <w:sz w:val="18"/>
                <w:szCs w:val="18"/>
                <w:color w:val="auto"/>
              </w:rPr>
              <w:t>Additions, net of transfers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Reclassifications</w:t>
            </w:r>
          </w:p>
        </w:tc>
        <w:tc>
          <w:tcPr>
            <w:tcW w:w="2440" w:type="dxa"/>
            <w:vAlign w:val="bottom"/>
            <w:gridSpan w:val="3"/>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6"/>
          </w:tcPr>
          <w:p>
            <w:pPr>
              <w:jc w:val="right"/>
              <w:ind w:right="24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2440" w:type="dxa"/>
            <w:vAlign w:val="bottom"/>
            <w:gridSpan w:val="3"/>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7,849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1,519</w:t>
            </w:r>
          </w:p>
        </w:tc>
        <w:tc>
          <w:tcPr>
            <w:tcW w:w="3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18,054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3"/>
              </w:rPr>
              <w:t>30,338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color w:val="auto"/>
                <w:w w:val="95"/>
              </w:rPr>
              <w:t>Laboratory</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5"/>
          </w:tcPr>
          <w:p>
            <w:pPr>
              <w:jc w:val="center"/>
              <w:ind w:right="440"/>
              <w:spacing w:after="0"/>
              <w:rPr>
                <w:sz w:val="20"/>
                <w:szCs w:val="20"/>
                <w:color w:val="auto"/>
              </w:rPr>
            </w:pPr>
            <w:r>
              <w:rPr>
                <w:rFonts w:ascii="Arial" w:cs="Arial" w:eastAsia="Arial" w:hAnsi="Arial"/>
                <w:sz w:val="14"/>
                <w:szCs w:val="14"/>
                <w:color w:val="auto"/>
                <w:w w:val="94"/>
              </w:rPr>
              <w:t>Computer</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5"/>
              </w:rPr>
              <w:t>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Furniture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jc w:val="center"/>
              <w:ind w:right="440"/>
              <w:spacing w:after="0" w:line="149" w:lineRule="exact"/>
              <w:rPr>
                <w:sz w:val="20"/>
                <w:szCs w:val="20"/>
                <w:color w:val="auto"/>
              </w:rPr>
            </w:pPr>
            <w:r>
              <w:rPr>
                <w:rFonts w:ascii="Arial" w:cs="Arial" w:eastAsia="Arial" w:hAnsi="Arial"/>
                <w:sz w:val="14"/>
                <w:szCs w:val="14"/>
                <w:color w:val="auto"/>
                <w:w w:val="92"/>
              </w:rPr>
              <w:t>Equipment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4"/>
              </w:rPr>
              <w:t>Construction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6"/>
              </w:rPr>
              <w:t>Manufacturing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center"/>
              <w:ind w:right="600"/>
              <w:spacing w:after="0" w:line="149" w:lineRule="exact"/>
              <w:rPr>
                <w:sz w:val="20"/>
                <w:szCs w:val="20"/>
                <w:color w:val="auto"/>
              </w:rPr>
            </w:pPr>
            <w:r>
              <w:rPr>
                <w:rFonts w:ascii="Arial" w:cs="Arial" w:eastAsia="Arial" w:hAnsi="Arial"/>
                <w:sz w:val="14"/>
                <w:szCs w:val="14"/>
                <w:color w:val="auto"/>
                <w:w w:val="94"/>
              </w:rPr>
              <w:t>and</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Leasehold</w:t>
            </w: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rPr>
              <w:t>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3"/>
            <w:vMerge w:val="restart"/>
          </w:tcPr>
          <w:p>
            <w:pPr>
              <w:spacing w:after="0"/>
              <w:rPr>
                <w:sz w:val="20"/>
                <w:szCs w:val="20"/>
                <w:color w:val="auto"/>
              </w:rPr>
            </w:pPr>
            <w:r>
              <w:rPr>
                <w:rFonts w:ascii="Arial" w:cs="Arial" w:eastAsia="Arial" w:hAnsi="Arial"/>
                <w:sz w:val="14"/>
                <w:szCs w:val="14"/>
                <w:color w:val="auto"/>
                <w:w w:val="93"/>
              </w:rPr>
              <w:t>Accumulated depreciation and impairment loss</w:t>
            </w: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5"/>
              </w:rPr>
              <w:t>Equipment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2"/>
              </w:rPr>
              <w:t>Fixtures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jc w:val="center"/>
              <w:ind w:right="460"/>
              <w:spacing w:after="0" w:line="149" w:lineRule="exact"/>
              <w:rPr>
                <w:sz w:val="20"/>
                <w:szCs w:val="20"/>
                <w:color w:val="auto"/>
              </w:rPr>
            </w:pPr>
            <w:r>
              <w:rPr>
                <w:rFonts w:ascii="Arial" w:cs="Arial" w:eastAsia="Arial" w:hAnsi="Arial"/>
                <w:sz w:val="14"/>
                <w:szCs w:val="14"/>
                <w:color w:val="auto"/>
                <w:w w:val="94"/>
              </w:rPr>
              <w:t>Software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Improvements</w:t>
            </w: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9"/>
              </w:rPr>
              <w:t>process</w:t>
            </w: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auto"/>
            </w:tcBorders>
            <w:gridSpan w:val="3"/>
            <w:vMerge w:val="continue"/>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4"/>
          </w:tcPr>
          <w:p>
            <w:pPr>
              <w:jc w:val="center"/>
              <w:ind w:right="80"/>
              <w:spacing w:after="0" w:line="154" w:lineRule="exact"/>
              <w:rPr>
                <w:sz w:val="20"/>
                <w:szCs w:val="20"/>
                <w:color w:val="auto"/>
              </w:rPr>
            </w:pPr>
            <w:r>
              <w:rPr>
                <w:rFonts w:ascii="Arial" w:cs="Arial" w:eastAsia="Arial" w:hAnsi="Arial"/>
                <w:sz w:val="14"/>
                <w:szCs w:val="14"/>
                <w:color w:val="auto"/>
                <w:w w:val="89"/>
              </w:rPr>
              <w:t>$000s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jc w:val="right"/>
              <w:ind w:right="320"/>
              <w:spacing w:after="0" w:line="154" w:lineRule="exact"/>
              <w:rPr>
                <w:sz w:val="20"/>
                <w:szCs w:val="20"/>
                <w:color w:val="auto"/>
              </w:rPr>
            </w:pPr>
            <w:r>
              <w:rPr>
                <w:rFonts w:ascii="Arial" w:cs="Arial" w:eastAsia="Arial" w:hAnsi="Arial"/>
                <w:sz w:val="14"/>
                <w:szCs w:val="14"/>
                <w:color w:val="auto"/>
              </w:rPr>
              <w:t>$000s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5"/>
          </w:tcPr>
          <w:p>
            <w:pPr>
              <w:jc w:val="center"/>
              <w:ind w:right="440"/>
              <w:spacing w:after="0" w:line="154" w:lineRule="exact"/>
              <w:rPr>
                <w:sz w:val="20"/>
                <w:szCs w:val="20"/>
                <w:color w:val="auto"/>
              </w:rPr>
            </w:pPr>
            <w:r>
              <w:rPr>
                <w:rFonts w:ascii="Arial" w:cs="Arial" w:eastAsia="Arial" w:hAnsi="Arial"/>
                <w:sz w:val="14"/>
                <w:szCs w:val="14"/>
                <w:color w:val="auto"/>
                <w:w w:val="89"/>
              </w:rPr>
              <w:t>$000s</w:t>
            </w:r>
          </w:p>
        </w:tc>
        <w:tc>
          <w:tcPr>
            <w:tcW w:w="10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89"/>
              </w:rPr>
              <w:t>$000s</w:t>
            </w:r>
          </w:p>
        </w:tc>
        <w:tc>
          <w:tcPr>
            <w:tcW w:w="80" w:type="dxa"/>
            <w:vAlign w:val="bottom"/>
          </w:tcPr>
          <w:p>
            <w:pPr>
              <w:spacing w:after="0"/>
              <w:rPr>
                <w:sz w:val="15"/>
                <w:szCs w:val="15"/>
                <w:color w:val="auto"/>
              </w:rPr>
            </w:pPr>
          </w:p>
        </w:tc>
        <w:tc>
          <w:tcPr>
            <w:tcW w:w="1140" w:type="dxa"/>
            <w:vAlign w:val="bottom"/>
            <w:gridSpan w:val="3"/>
          </w:tcPr>
          <w:p>
            <w:pPr>
              <w:jc w:val="center"/>
              <w:ind w:right="360"/>
              <w:spacing w:after="0" w:line="154" w:lineRule="exact"/>
              <w:rPr>
                <w:sz w:val="20"/>
                <w:szCs w:val="20"/>
                <w:color w:val="auto"/>
              </w:rPr>
            </w:pPr>
            <w:r>
              <w:rPr>
                <w:rFonts w:ascii="Arial" w:cs="Arial" w:eastAsia="Arial" w:hAnsi="Arial"/>
                <w:sz w:val="14"/>
                <w:szCs w:val="14"/>
                <w:color w:val="auto"/>
                <w:w w:val="89"/>
              </w:rPr>
              <w:t>$000s</w:t>
            </w:r>
          </w:p>
        </w:tc>
        <w:tc>
          <w:tcPr>
            <w:tcW w:w="600" w:type="dxa"/>
            <w:vAlign w:val="bottom"/>
            <w:gridSpan w:val="3"/>
          </w:tcPr>
          <w:p>
            <w:pPr>
              <w:jc w:val="center"/>
              <w:ind w:right="160"/>
              <w:spacing w:after="0" w:line="154" w:lineRule="exact"/>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9"/>
              </w:rPr>
              <w:t>Balance as of December 31, 2018</w:t>
            </w:r>
          </w:p>
        </w:tc>
        <w:tc>
          <w:tcPr>
            <w:tcW w:w="1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(3,222)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(1,854)</w:t>
            </w: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(6,065)</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3060" w:type="dxa"/>
            <w:vAlign w:val="bottom"/>
            <w:gridSpan w:val="6"/>
          </w:tcPr>
          <w:p>
            <w:pPr>
              <w:jc w:val="right"/>
              <w:ind w:right="20"/>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30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Deconsolidation of subsidiaries</w:t>
            </w:r>
          </w:p>
        </w:tc>
        <w:tc>
          <w:tcPr>
            <w:tcW w:w="3060" w:type="dxa"/>
            <w:vAlign w:val="bottom"/>
            <w:gridSpan w:val="6"/>
          </w:tcPr>
          <w:p>
            <w:pPr>
              <w:jc w:val="right"/>
              <w:ind w:right="80"/>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30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2120" w:type="dxa"/>
            <w:vAlign w:val="bottom"/>
            <w:gridSpan w:val="2"/>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Balance as of December 31, 2019</w:t>
            </w:r>
          </w:p>
        </w:tc>
        <w:tc>
          <w:tcPr>
            <w:tcW w:w="2120" w:type="dxa"/>
            <w:vAlign w:val="bottom"/>
            <w:gridSpan w:val="2"/>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(7,192)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(1,955)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w:t>
            </w:r>
          </w:p>
        </w:tc>
        <w:tc>
          <w:tcPr>
            <w:tcW w:w="30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rPr>
              <w:t>Reclassifications</w:t>
            </w:r>
          </w:p>
        </w:tc>
        <w:tc>
          <w:tcPr>
            <w:tcW w:w="2120" w:type="dxa"/>
            <w:vAlign w:val="bottom"/>
            <w:gridSpan w:val="2"/>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2120" w:type="dxa"/>
            <w:vAlign w:val="bottom"/>
            <w:gridSpan w:val="2"/>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(347)</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(1,145)</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(3,885)</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(8,755)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Laboratory and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6"/>
          </w:tcPr>
          <w:p>
            <w:pPr>
              <w:jc w:val="center"/>
              <w:ind w:right="480"/>
              <w:spacing w:after="0"/>
              <w:rPr>
                <w:sz w:val="20"/>
                <w:szCs w:val="20"/>
                <w:color w:val="auto"/>
              </w:rPr>
            </w:pPr>
            <w:r>
              <w:rPr>
                <w:rFonts w:ascii="Arial" w:cs="Arial" w:eastAsia="Arial" w:hAnsi="Arial"/>
                <w:sz w:val="14"/>
                <w:szCs w:val="14"/>
                <w:color w:val="auto"/>
                <w:w w:val="94"/>
              </w:rPr>
              <w:t>Computer</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5"/>
          </w:tcPr>
          <w:p>
            <w:pPr>
              <w:jc w:val="center"/>
              <w:ind w:right="320"/>
              <w:spacing w:after="0" w:line="149" w:lineRule="exact"/>
              <w:rPr>
                <w:sz w:val="20"/>
                <w:szCs w:val="20"/>
                <w:color w:val="auto"/>
              </w:rPr>
            </w:pPr>
            <w:r>
              <w:rPr>
                <w:rFonts w:ascii="Arial" w:cs="Arial" w:eastAsia="Arial" w:hAnsi="Arial"/>
                <w:sz w:val="14"/>
                <w:szCs w:val="14"/>
                <w:color w:val="auto"/>
                <w:w w:val="94"/>
              </w:rPr>
              <w:t>Manufacturing</w:t>
            </w:r>
          </w:p>
        </w:tc>
        <w:tc>
          <w:tcPr>
            <w:tcW w:w="1080" w:type="dxa"/>
            <w:vAlign w:val="bottom"/>
            <w:gridSpan w:val="6"/>
          </w:tcPr>
          <w:p>
            <w:pPr>
              <w:jc w:val="right"/>
              <w:ind w:right="300"/>
              <w:spacing w:after="0" w:line="149" w:lineRule="exact"/>
              <w:rPr>
                <w:sz w:val="20"/>
                <w:szCs w:val="20"/>
                <w:color w:val="auto"/>
              </w:rPr>
            </w:pPr>
            <w:r>
              <w:rPr>
                <w:rFonts w:ascii="Arial" w:cs="Arial" w:eastAsia="Arial" w:hAnsi="Arial"/>
                <w:sz w:val="14"/>
                <w:szCs w:val="14"/>
                <w:color w:val="auto"/>
                <w:w w:val="91"/>
              </w:rPr>
              <w:t>Furniture and</w:t>
            </w:r>
          </w:p>
        </w:tc>
        <w:tc>
          <w:tcPr>
            <w:tcW w:w="1260" w:type="dxa"/>
            <w:vAlign w:val="bottom"/>
            <w:gridSpan w:val="7"/>
          </w:tcPr>
          <w:p>
            <w:pPr>
              <w:jc w:val="center"/>
              <w:ind w:right="380"/>
              <w:spacing w:after="0" w:line="149" w:lineRule="exact"/>
              <w:rPr>
                <w:sz w:val="20"/>
                <w:szCs w:val="20"/>
                <w:color w:val="auto"/>
              </w:rPr>
            </w:pPr>
            <w:r>
              <w:rPr>
                <w:rFonts w:ascii="Arial" w:cs="Arial" w:eastAsia="Arial" w:hAnsi="Arial"/>
                <w:sz w:val="14"/>
                <w:szCs w:val="14"/>
                <w:color w:val="auto"/>
                <w:w w:val="93"/>
              </w:rPr>
              <w:t>Equipment and</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Leasehold</w:t>
            </w:r>
          </w:p>
        </w:tc>
        <w:tc>
          <w:tcPr>
            <w:tcW w:w="1220" w:type="dxa"/>
            <w:vAlign w:val="bottom"/>
            <w:gridSpan w:val="4"/>
          </w:tcPr>
          <w:p>
            <w:pPr>
              <w:jc w:val="center"/>
              <w:ind w:right="320"/>
              <w:spacing w:after="0" w:line="149" w:lineRule="exact"/>
              <w:rPr>
                <w:sz w:val="20"/>
                <w:szCs w:val="20"/>
                <w:color w:val="auto"/>
              </w:rPr>
            </w:pPr>
            <w:r>
              <w:rPr>
                <w:rFonts w:ascii="Arial" w:cs="Arial" w:eastAsia="Arial" w:hAnsi="Arial"/>
                <w:sz w:val="14"/>
                <w:szCs w:val="14"/>
                <w:color w:val="auto"/>
                <w:w w:val="96"/>
              </w:rPr>
              <w:t>Construction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w w:val="92"/>
              </w:rPr>
              <w:t>Property and Equipment, net</w:t>
            </w:r>
          </w:p>
        </w:tc>
        <w:tc>
          <w:tcPr>
            <w:tcW w:w="106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5"/>
          </w:tcPr>
          <w:p>
            <w:pPr>
              <w:jc w:val="center"/>
              <w:ind w:right="320"/>
              <w:spacing w:after="0" w:line="149" w:lineRule="exact"/>
              <w:rPr>
                <w:sz w:val="20"/>
                <w:szCs w:val="20"/>
                <w:color w:val="auto"/>
              </w:rPr>
            </w:pPr>
            <w:r>
              <w:rPr>
                <w:rFonts w:ascii="Arial" w:cs="Arial" w:eastAsia="Arial" w:hAnsi="Arial"/>
                <w:sz w:val="14"/>
                <w:szCs w:val="14"/>
                <w:color w:val="auto"/>
                <w:w w:val="95"/>
              </w:rPr>
              <w:t>Equipment</w:t>
            </w:r>
          </w:p>
        </w:tc>
        <w:tc>
          <w:tcPr>
            <w:tcW w:w="1080" w:type="dxa"/>
            <w:vAlign w:val="bottom"/>
            <w:gridSpan w:val="6"/>
          </w:tcPr>
          <w:p>
            <w:pPr>
              <w:jc w:val="right"/>
              <w:ind w:right="460"/>
              <w:spacing w:after="0" w:line="149" w:lineRule="exact"/>
              <w:rPr>
                <w:sz w:val="20"/>
                <w:szCs w:val="20"/>
                <w:color w:val="auto"/>
              </w:rPr>
            </w:pPr>
            <w:r>
              <w:rPr>
                <w:rFonts w:ascii="Arial" w:cs="Arial" w:eastAsia="Arial" w:hAnsi="Arial"/>
                <w:sz w:val="14"/>
                <w:szCs w:val="14"/>
                <w:color w:val="auto"/>
              </w:rPr>
              <w:t>Fixtures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jc w:val="center"/>
              <w:ind w:right="540"/>
              <w:spacing w:after="0" w:line="149" w:lineRule="exact"/>
              <w:rPr>
                <w:sz w:val="20"/>
                <w:szCs w:val="20"/>
                <w:color w:val="auto"/>
              </w:rPr>
            </w:pPr>
            <w:r>
              <w:rPr>
                <w:rFonts w:ascii="Arial" w:cs="Arial" w:eastAsia="Arial" w:hAnsi="Arial"/>
                <w:sz w:val="14"/>
                <w:szCs w:val="14"/>
                <w:color w:val="auto"/>
                <w:w w:val="94"/>
              </w:rPr>
              <w:t>Software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Improvements</w:t>
            </w: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9"/>
              </w:rPr>
              <w:t>process</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4"/>
        </w:trPr>
        <w:tc>
          <w:tcPr>
            <w:tcW w:w="1660" w:type="dxa"/>
            <w:vAlign w:val="bottom"/>
            <w:tcBorders>
              <w:bottom w:val="single" w:sz="8" w:color="auto"/>
            </w:tcBorders>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4"/>
          </w:tcPr>
          <w:p>
            <w:pPr>
              <w:jc w:val="center"/>
              <w:ind w:right="600"/>
              <w:spacing w:after="0" w:line="154" w:lineRule="exact"/>
              <w:rPr>
                <w:sz w:val="20"/>
                <w:szCs w:val="20"/>
                <w:color w:val="auto"/>
              </w:rPr>
            </w:pPr>
            <w:r>
              <w:rPr>
                <w:rFonts w:ascii="Arial" w:cs="Arial" w:eastAsia="Arial" w:hAnsi="Arial"/>
                <w:sz w:val="14"/>
                <w:szCs w:val="14"/>
                <w:color w:val="auto"/>
                <w:w w:val="89"/>
              </w:rPr>
              <w:t>$000s</w:t>
            </w:r>
          </w:p>
        </w:tc>
        <w:tc>
          <w:tcPr>
            <w:tcW w:w="1080" w:type="dxa"/>
            <w:vAlign w:val="bottom"/>
            <w:gridSpan w:val="6"/>
          </w:tcPr>
          <w:p>
            <w:pPr>
              <w:jc w:val="right"/>
              <w:ind w:right="520"/>
              <w:spacing w:after="0" w:line="154" w:lineRule="exact"/>
              <w:rPr>
                <w:sz w:val="20"/>
                <w:szCs w:val="20"/>
                <w:color w:val="auto"/>
              </w:rPr>
            </w:pPr>
            <w:r>
              <w:rPr>
                <w:rFonts w:ascii="Arial" w:cs="Arial" w:eastAsia="Arial" w:hAnsi="Arial"/>
                <w:sz w:val="14"/>
                <w:szCs w:val="14"/>
                <w:color w:val="auto"/>
              </w:rPr>
              <w:t>$000s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5"/>
          </w:tcPr>
          <w:p>
            <w:pPr>
              <w:jc w:val="center"/>
              <w:ind w:right="520"/>
              <w:spacing w:after="0" w:line="154" w:lineRule="exact"/>
              <w:rPr>
                <w:sz w:val="20"/>
                <w:szCs w:val="20"/>
                <w:color w:val="auto"/>
              </w:rPr>
            </w:pPr>
            <w:r>
              <w:rPr>
                <w:rFonts w:ascii="Arial" w:cs="Arial" w:eastAsia="Arial" w:hAnsi="Arial"/>
                <w:sz w:val="14"/>
                <w:szCs w:val="14"/>
                <w:color w:val="auto"/>
                <w:w w:val="89"/>
              </w:rPr>
              <w:t>$000s</w:t>
            </w:r>
          </w:p>
        </w:tc>
        <w:tc>
          <w:tcPr>
            <w:tcW w:w="10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89"/>
              </w:rPr>
              <w:t>$000s</w:t>
            </w:r>
          </w:p>
        </w:tc>
        <w:tc>
          <w:tcPr>
            <w:tcW w:w="80" w:type="dxa"/>
            <w:vAlign w:val="bottom"/>
          </w:tcPr>
          <w:p>
            <w:pPr>
              <w:spacing w:after="0"/>
              <w:rPr>
                <w:sz w:val="15"/>
                <w:szCs w:val="15"/>
                <w:color w:val="auto"/>
              </w:rPr>
            </w:pPr>
          </w:p>
        </w:tc>
        <w:tc>
          <w:tcPr>
            <w:tcW w:w="1140" w:type="dxa"/>
            <w:vAlign w:val="bottom"/>
            <w:gridSpan w:val="3"/>
          </w:tcPr>
          <w:p>
            <w:pPr>
              <w:jc w:val="center"/>
              <w:ind w:right="400"/>
              <w:spacing w:after="0" w:line="154" w:lineRule="exact"/>
              <w:rPr>
                <w:sz w:val="20"/>
                <w:szCs w:val="20"/>
                <w:color w:val="auto"/>
              </w:rPr>
            </w:pPr>
            <w:r>
              <w:rPr>
                <w:rFonts w:ascii="Arial" w:cs="Arial" w:eastAsia="Arial" w:hAnsi="Arial"/>
                <w:sz w:val="14"/>
                <w:szCs w:val="14"/>
                <w:color w:val="auto"/>
                <w:w w:val="89"/>
              </w:rPr>
              <w:t>$000s</w:t>
            </w:r>
          </w:p>
        </w:tc>
        <w:tc>
          <w:tcPr>
            <w:tcW w:w="60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9"/>
              </w:rPr>
              <w:t>Balance as of December 31, 2018</w:t>
            </w:r>
          </w:p>
        </w:tc>
        <w:tc>
          <w:tcPr>
            <w:tcW w:w="18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center"/>
              <w:ind w:left="401"/>
              <w:spacing w:after="0" w:line="203" w:lineRule="exact"/>
              <w:rPr>
                <w:sz w:val="20"/>
                <w:szCs w:val="20"/>
                <w:color w:val="auto"/>
              </w:rPr>
            </w:pPr>
            <w:r>
              <w:rPr>
                <w:rFonts w:ascii="Arial" w:cs="Arial" w:eastAsia="Arial" w:hAnsi="Arial"/>
                <w:sz w:val="18"/>
                <w:szCs w:val="18"/>
                <w:color w:val="auto"/>
                <w:w w:val="88"/>
              </w:rPr>
              <w:t>4,084</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3,070</w:t>
            </w: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w w:val="99"/>
              </w:rPr>
              <w:t>Balance as of December 31, 2019</w:t>
            </w:r>
          </w:p>
        </w:tc>
        <w:tc>
          <w:tcPr>
            <w:tcW w:w="2980" w:type="dxa"/>
            <w:vAlign w:val="bottom"/>
            <w:gridSpan w:val="5"/>
          </w:tcPr>
          <w:p>
            <w:pPr>
              <w:jc w:val="center"/>
              <w:ind w:left="2010"/>
              <w:spacing w:after="0"/>
              <w:rPr>
                <w:sz w:val="20"/>
                <w:szCs w:val="20"/>
                <w:color w:val="auto"/>
              </w:rPr>
            </w:pPr>
            <w:r>
              <w:rPr>
                <w:rFonts w:ascii="Arial" w:cs="Arial" w:eastAsia="Arial" w:hAnsi="Arial"/>
                <w:sz w:val="18"/>
                <w:szCs w:val="18"/>
                <w:color w:val="auto"/>
                <w:w w:val="88"/>
              </w:rPr>
              <w:t>4,418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7"/>
              </w:rPr>
              <w:t>1,213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14,701</w:t>
            </w:r>
          </w:p>
        </w:tc>
        <w:tc>
          <w:tcPr>
            <w:tcW w:w="300" w:type="dxa"/>
            <w:vAlign w:val="bottom"/>
          </w:tcPr>
          <w:p>
            <w:pPr>
              <w:spacing w:after="0"/>
              <w:rPr>
                <w:sz w:val="18"/>
                <w:szCs w:val="18"/>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645</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21,455</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18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left="161"/>
              <w:spacing w:after="0"/>
              <w:rPr>
                <w:sz w:val="20"/>
                <w:szCs w:val="20"/>
                <w:color w:val="auto"/>
              </w:rPr>
            </w:pPr>
            <w:r>
              <w:rPr>
                <w:rFonts w:ascii="Arial" w:cs="Arial" w:eastAsia="Arial" w:hAnsi="Arial"/>
                <w:sz w:val="18"/>
                <w:szCs w:val="18"/>
                <w:b w:val="1"/>
                <w:bCs w:val="1"/>
                <w:color w:val="auto"/>
                <w:w w:val="88"/>
              </w:rPr>
              <w:t>4,471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373</w:t>
            </w: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14,169</w:t>
            </w:r>
          </w:p>
        </w:tc>
        <w:tc>
          <w:tcPr>
            <w:tcW w:w="30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1,465</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21,583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Depreciation of property and equipment is included in the General and administrative expenses, and Research and development expenses line items in the Condensed Consolidated Statements of Comprehensive Income/(Loss). The Company recorded depreciation expense of $2.0 million and $1.2 million for the six months ended June 30, 2020 and 2019,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Intangible Assets</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Intangible assets consist of licenses of intellectual property acquired by the Group through various agreements with third parties, and are recorded at the value of cash and non-cash consideration transferred. Information regarding the cost and accumulated amortization of intangible assets is as follows:</w:t>
      </w:r>
    </w:p>
    <w:p>
      <w:pPr>
        <w:spacing w:after="0" w:line="13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gridSpan w:val="5"/>
            <w:vMerge w:val="restart"/>
          </w:tcPr>
          <w:p>
            <w:pPr>
              <w:spacing w:after="0"/>
              <w:rPr>
                <w:sz w:val="20"/>
                <w:szCs w:val="20"/>
                <w:color w:val="auto"/>
              </w:rPr>
            </w:pPr>
            <w:r>
              <w:rPr>
                <w:rFonts w:ascii="Arial" w:cs="Arial" w:eastAsia="Arial" w:hAnsi="Arial"/>
                <w:sz w:val="14"/>
                <w:szCs w:val="14"/>
                <w:color w:val="auto"/>
              </w:rPr>
              <w:t>Cost</w:t>
            </w:r>
          </w:p>
        </w:tc>
        <w:tc>
          <w:tcPr>
            <w:tcW w:w="680" w:type="dxa"/>
            <w:vAlign w:val="bottom"/>
            <w:gridSpan w:val="5"/>
          </w:tcPr>
          <w:p>
            <w:pPr>
              <w:ind w:left="20"/>
              <w:spacing w:after="0"/>
              <w:rPr>
                <w:sz w:val="20"/>
                <w:szCs w:val="20"/>
                <w:color w:val="auto"/>
              </w:rPr>
            </w:pPr>
            <w:r>
              <w:rPr>
                <w:rFonts w:ascii="Arial" w:cs="Arial" w:eastAsia="Arial" w:hAnsi="Arial"/>
                <w:sz w:val="14"/>
                <w:szCs w:val="14"/>
                <w:color w:val="auto"/>
              </w:rPr>
              <w:t>Licenses</w:t>
            </w:r>
          </w:p>
        </w:tc>
        <w:tc>
          <w:tcPr>
            <w:tcW w:w="0" w:type="dxa"/>
            <w:vAlign w:val="bottom"/>
          </w:tcPr>
          <w:p>
            <w:pPr>
              <w:spacing w:after="0"/>
              <w:rPr>
                <w:sz w:val="1"/>
                <w:szCs w:val="1"/>
                <w:color w:val="auto"/>
              </w:rPr>
            </w:pPr>
          </w:p>
        </w:tc>
      </w:tr>
      <w:tr>
        <w:trPr>
          <w:trHeight w:val="154"/>
        </w:trPr>
        <w:tc>
          <w:tcPr>
            <w:tcW w:w="6800" w:type="dxa"/>
            <w:vAlign w:val="bottom"/>
            <w:gridSpan w:val="5"/>
            <w:vMerge w:val="continue"/>
          </w:tcPr>
          <w:p>
            <w:pPr>
              <w:spacing w:after="0"/>
              <w:rPr>
                <w:sz w:val="13"/>
                <w:szCs w:val="13"/>
                <w:color w:val="auto"/>
              </w:rPr>
            </w:pPr>
          </w:p>
        </w:tc>
        <w:tc>
          <w:tcPr>
            <w:tcW w:w="68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Balance at 31 December 2018</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5"/>
          </w:tcPr>
          <w:p>
            <w:pPr>
              <w:spacing w:after="0"/>
              <w:rPr>
                <w:sz w:val="20"/>
                <w:szCs w:val="20"/>
                <w:color w:val="auto"/>
              </w:rPr>
            </w:pPr>
            <w:r>
              <w:rPr>
                <w:rFonts w:ascii="Arial" w:cs="Arial" w:eastAsia="Arial" w:hAnsi="Arial"/>
                <w:sz w:val="18"/>
                <w:szCs w:val="18"/>
                <w:color w:val="auto"/>
              </w:rPr>
              <w:t>Balance as of 31 December 2019</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5"/>
          </w:tcPr>
          <w:p>
            <w:pPr>
              <w:spacing w:after="0"/>
              <w:rPr>
                <w:sz w:val="20"/>
                <w:szCs w:val="20"/>
                <w:color w:val="auto"/>
              </w:rPr>
            </w:pPr>
            <w:r>
              <w:rPr>
                <w:rFonts w:ascii="Arial" w:cs="Arial" w:eastAsia="Arial" w:hAnsi="Arial"/>
                <w:sz w:val="18"/>
                <w:szCs w:val="18"/>
                <w:b w:val="1"/>
                <w:bCs w:val="1"/>
                <w:color w:val="auto"/>
              </w:rPr>
              <w:t>Balance as of 30 June 2020</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6800" w:type="dxa"/>
            <w:vAlign w:val="bottom"/>
            <w:gridSpan w:val="5"/>
            <w:vMerge w:val="restart"/>
          </w:tcPr>
          <w:p>
            <w:pPr>
              <w:spacing w:after="0"/>
              <w:rPr>
                <w:sz w:val="20"/>
                <w:szCs w:val="20"/>
                <w:color w:val="auto"/>
              </w:rPr>
            </w:pPr>
            <w:r>
              <w:rPr>
                <w:rFonts w:ascii="Arial" w:cs="Arial" w:eastAsia="Arial" w:hAnsi="Arial"/>
                <w:sz w:val="14"/>
                <w:szCs w:val="14"/>
                <w:color w:val="auto"/>
              </w:rPr>
              <w:t>Accumulated amortisation</w:t>
            </w:r>
          </w:p>
        </w:tc>
        <w:tc>
          <w:tcPr>
            <w:tcW w:w="680" w:type="dxa"/>
            <w:vAlign w:val="bottom"/>
            <w:gridSpan w:val="5"/>
          </w:tcPr>
          <w:p>
            <w:pPr>
              <w:ind w:left="20"/>
              <w:spacing w:after="0"/>
              <w:rPr>
                <w:sz w:val="20"/>
                <w:szCs w:val="20"/>
                <w:color w:val="auto"/>
              </w:rPr>
            </w:pPr>
            <w:r>
              <w:rPr>
                <w:rFonts w:ascii="Arial" w:cs="Arial" w:eastAsia="Arial" w:hAnsi="Arial"/>
                <w:sz w:val="14"/>
                <w:szCs w:val="14"/>
                <w:color w:val="auto"/>
              </w:rPr>
              <w:t>Licenses</w:t>
            </w:r>
          </w:p>
        </w:tc>
        <w:tc>
          <w:tcPr>
            <w:tcW w:w="0" w:type="dxa"/>
            <w:vAlign w:val="bottom"/>
          </w:tcPr>
          <w:p>
            <w:pPr>
              <w:spacing w:after="0"/>
              <w:rPr>
                <w:sz w:val="1"/>
                <w:szCs w:val="1"/>
                <w:color w:val="auto"/>
              </w:rPr>
            </w:pPr>
          </w:p>
        </w:tc>
      </w:tr>
      <w:tr>
        <w:trPr>
          <w:trHeight w:val="154"/>
        </w:trPr>
        <w:tc>
          <w:tcPr>
            <w:tcW w:w="6800" w:type="dxa"/>
            <w:vAlign w:val="bottom"/>
            <w:gridSpan w:val="5"/>
            <w:vMerge w:val="continue"/>
          </w:tcPr>
          <w:p>
            <w:pPr>
              <w:spacing w:after="0"/>
              <w:rPr>
                <w:sz w:val="13"/>
                <w:szCs w:val="13"/>
                <w:color w:val="auto"/>
              </w:rPr>
            </w:pPr>
          </w:p>
        </w:tc>
        <w:tc>
          <w:tcPr>
            <w:tcW w:w="680" w:type="dxa"/>
            <w:vAlign w:val="bottom"/>
            <w:gridSpan w:val="5"/>
          </w:tcPr>
          <w:p>
            <w:pPr>
              <w:jc w:val="right"/>
              <w:ind w:right="220"/>
              <w:spacing w:after="0" w:line="154"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Balance at 31 December 2018</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Amortisation</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5"/>
          </w:tcPr>
          <w:p>
            <w:pPr>
              <w:spacing w:after="0"/>
              <w:rPr>
                <w:sz w:val="20"/>
                <w:szCs w:val="20"/>
                <w:color w:val="auto"/>
              </w:rPr>
            </w:pPr>
            <w:r>
              <w:rPr>
                <w:rFonts w:ascii="Arial" w:cs="Arial" w:eastAsia="Arial" w:hAnsi="Arial"/>
                <w:sz w:val="18"/>
                <w:szCs w:val="18"/>
                <w:color w:val="auto"/>
              </w:rPr>
              <w:t>Balance as of 31 December 2019</w:t>
            </w: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as of 30 June 2020</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6800" w:type="dxa"/>
            <w:vAlign w:val="bottom"/>
            <w:gridSpan w:val="5"/>
            <w:vMerge w:val="restart"/>
          </w:tcPr>
          <w:p>
            <w:pPr>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24"/>
                <w:szCs w:val="24"/>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4"/>
                <w:szCs w:val="14"/>
                <w:color w:val="auto"/>
                <w:w w:val="90"/>
              </w:rPr>
              <w:t>Licenses</w:t>
            </w:r>
          </w:p>
        </w:tc>
        <w:tc>
          <w:tcPr>
            <w:tcW w:w="0" w:type="dxa"/>
            <w:vAlign w:val="bottom"/>
          </w:tcPr>
          <w:p>
            <w:pPr>
              <w:spacing w:after="0"/>
              <w:rPr>
                <w:sz w:val="1"/>
                <w:szCs w:val="1"/>
                <w:color w:val="auto"/>
              </w:rPr>
            </w:pPr>
          </w:p>
        </w:tc>
      </w:tr>
      <w:tr>
        <w:trPr>
          <w:trHeight w:val="154"/>
        </w:trPr>
        <w:tc>
          <w:tcPr>
            <w:tcW w:w="68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tcPr>
          <w:p>
            <w:pPr>
              <w:jc w:val="right"/>
              <w:ind w:right="120"/>
              <w:spacing w:after="0" w:line="154"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Balance as of 31 December 2019</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b w:val="1"/>
                <w:bCs w:val="1"/>
                <w:color w:val="auto"/>
              </w:rPr>
              <w:t>Balance as of 30 June 2020</w:t>
            </w:r>
          </w:p>
        </w:tc>
        <w:tc>
          <w:tcPr>
            <w:tcW w:w="120" w:type="dxa"/>
            <w:vAlign w:val="bottom"/>
          </w:tcPr>
          <w:p>
            <w:pPr>
              <w:spacing w:after="0"/>
              <w:rPr>
                <w:sz w:val="18"/>
                <w:szCs w:val="18"/>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These intangible asset licenses represent in-process-research-and-development assets since they are still being developed and are not ready for their intended use. As such, these assets are not yet amortized but tested for impairment annually.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Equity</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At June 30, 2020 and December 31, 2019, 285,512,461 and 285,370,619 common shares were outstanding, respectively, including all vested common shares issued pursuant to PureTech Health LLC Incentive Compensation arrangements as detailed in Note 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Subsidiary Preferred Shares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IFRS 9 addresses the classification, measurement, and recognition of financial liabilities. Preferred shares issued by subsidiaries and affiliates often contain redemption and conversion features that are assessed under IFRS 9 in conjunction with the host preferred share instrument.</w:t>
      </w:r>
    </w:p>
    <w:p>
      <w:pPr>
        <w:spacing w:after="0" w:line="12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subsidiary preferred shares are redeemable upon the occurrence of a contingent event, other than full liquidation of the Company, that is not considered to be within the control of the Company. Therefore these subsidiary preferred shares are classified as liabilities. These liabilities are measured at fair value through profit and loss. The preferred shares are convertible into ordinary shares of the subsidiaries at the option of the holder and mandatorily convertible into ordinary shares upon a subsidiary listing in a public market at a price above that specified in the subsidiary’s charter or upon the vote of the holders of subsidiary preferred shares specified in the charter.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in whole at fair value through profit and loss no bifurcation is required.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20"/>
          </w:cols>
          <w:pgMar w:left="320" w:top="459" w:right="45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preferred shares are entitled to vote with holders of common shares on an as converted basis.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 recognizes the preferred share balance upon the receipt of cash financing or upon the conversion of notes into preferred shares at the amount received or carrying balance of any notes and derivatives converted into preferred shares.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balance as of June 30, 2020 and December 31, 2019 represents the fair value of the instruments for all subsidiary preferred shares. The following summarizes the subsidiary preferred share balance: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color w:val="auto"/>
              </w:rPr>
              <w:t>As of June 30, 2020 and December 31, 2019</w:t>
            </w: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340" w:type="dxa"/>
            <w:vAlign w:val="bottom"/>
            <w:gridSpan w:val="2"/>
            <w:vMerge w:val="continue"/>
          </w:tcPr>
          <w:p>
            <w:pPr>
              <w:spacing w:after="0"/>
              <w:rPr>
                <w:sz w:val="15"/>
                <w:szCs w:val="15"/>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Entrega</w:t>
            </w:r>
          </w:p>
        </w:tc>
        <w:tc>
          <w:tcPr>
            <w:tcW w:w="3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2,042</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Follica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11,486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11,663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Sonde</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12,632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Vedanta Biosciences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85,079</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subsidiary preferred share balance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111,238</w:t>
            </w:r>
          </w:p>
        </w:tc>
        <w:tc>
          <w:tcPr>
            <w:tcW w:w="3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June 30, 2020 and December 31, 2019, the minimum liquidation preference reflects the amounts that would be payable to the subsidiary preferred holders upon a liquidation event of the subsidiaries, which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As of June 30, 2020 and December 31, 2019</w:t>
            </w: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00" w:type="dxa"/>
            <w:vAlign w:val="bottom"/>
            <w:gridSpan w:val="2"/>
            <w:vMerge w:val="continue"/>
          </w:tcPr>
          <w:p>
            <w:pPr>
              <w:spacing w:after="0"/>
              <w:rPr>
                <w:sz w:val="15"/>
                <w:szCs w:val="15"/>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$000s</w:t>
            </w: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color w:val="auto"/>
                <w:w w:val="89"/>
              </w:rPr>
              <w:t>$000s</w:t>
            </w:r>
          </w:p>
        </w:tc>
        <w:tc>
          <w:tcPr>
            <w:tcW w:w="0" w:type="dxa"/>
            <w:vAlign w:val="bottom"/>
          </w:tcPr>
          <w:p>
            <w:pPr>
              <w:spacing w:after="0"/>
              <w:rPr>
                <w:sz w:val="1"/>
                <w:szCs w:val="1"/>
                <w:color w:val="auto"/>
              </w:rPr>
            </w:pPr>
          </w:p>
        </w:tc>
      </w:tr>
      <w:tr>
        <w:trPr>
          <w:trHeight w:val="203"/>
        </w:trPr>
        <w:tc>
          <w:tcPr>
            <w:tcW w:w="2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Entrega</w:t>
            </w:r>
          </w:p>
        </w:tc>
        <w:tc>
          <w:tcPr>
            <w:tcW w:w="39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2,216</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Follica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6,405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Sonde</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Vedanta Biosciences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83,661</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minimum liquidation preference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104,282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June 30, 2020, the minimum liquidation preference increased as compared to December 31, 2019 owing to the issuance of shares by Vedanta and Sonde.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six months ended June 30, 2020, the Group recognized the following changes in the value of subsidiary preferred shares: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$000s</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Issuance of new preferred shares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11,250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value of preferred shares measured at fair value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111,238</w:t>
            </w:r>
          </w:p>
        </w:tc>
        <w:tc>
          <w:tcPr>
            <w:tcW w:w="120" w:type="dxa"/>
            <w:vAlign w:val="bottom"/>
            <w:shd w:val="clear" w:color="auto" w:fill="CCEEFF"/>
          </w:tcPr>
          <w:p>
            <w:pPr>
              <w:spacing w:after="0"/>
              <w:rPr>
                <w:sz w:val="18"/>
                <w:szCs w:val="18"/>
                <w:color w:val="auto"/>
              </w:rPr>
            </w:pPr>
          </w:p>
        </w:tc>
      </w:tr>
      <w:tr>
        <w:trPr>
          <w:trHeight w:val="372"/>
        </w:trPr>
        <w:tc>
          <w:tcPr>
            <w:tcW w:w="7520" w:type="dxa"/>
            <w:vAlign w:val="bottom"/>
          </w:tcPr>
          <w:p>
            <w:pPr>
              <w:ind w:left="4020"/>
              <w:spacing w:after="0"/>
              <w:rPr>
                <w:sz w:val="20"/>
                <w:szCs w:val="20"/>
                <w:color w:val="auto"/>
              </w:rPr>
            </w:pPr>
            <w:r>
              <w:rPr>
                <w:rFonts w:ascii="Arial" w:cs="Arial" w:eastAsia="Arial" w:hAnsi="Arial"/>
                <w:sz w:val="18"/>
                <w:szCs w:val="18"/>
                <w:color w:val="auto"/>
              </w:rPr>
              <w:t>F-97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January 2020 and April 2020, Sonde Health issued and sold shares of Series A-2 preferred shares for aggregate proceeds of $4.8 million, of which none was contributed by PureTech.</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April 2020, Vedanta issued and sold shares of Series C-2 preferred shares for aggregate proceeds of $6.5 million, of which none was contributed by PureTech.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Financial Instruments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Group’s financial instruments consist of financial liabilities, including preferred shares, convertible notes, warrants and loans payable, as well as financial assets classified as assets held at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Process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For financial instruments measured at fair value under IFRS 9, under the further guidance of IFRS 13, the change in the fair value of the entire instrument is reflected through profit and loss. The total business enterprise value and allocatable equity of each entity within the Group was determined using a discounted cash flow income approach, replacement cost/asset approach, market scenario approach, or market backsolve approach through a recent arm’s length financing round. The approaches, in order of best evidentiary support, are detailed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Valuation Method</w:t>
            </w:r>
          </w:p>
        </w:tc>
        <w:tc>
          <w:tcPr>
            <w:tcW w:w="8380" w:type="dxa"/>
            <w:vAlign w:val="bottom"/>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Market—Backsolve</w:t>
            </w:r>
          </w:p>
        </w:tc>
        <w:tc>
          <w:tcPr>
            <w:tcW w:w="1520" w:type="dxa"/>
            <w:vAlign w:val="bottom"/>
          </w:tcPr>
          <w:p>
            <w:pPr>
              <w:spacing w:after="0"/>
              <w:rPr>
                <w:sz w:val="16"/>
                <w:szCs w:val="16"/>
                <w:color w:val="auto"/>
              </w:rPr>
            </w:pPr>
          </w:p>
        </w:tc>
        <w:tc>
          <w:tcPr>
            <w:tcW w:w="8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The market backsolve approach benchmarks the original issue price (OIP) of the company’s latest funding</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6"/>
              </w:rPr>
              <w:t>transaction as current value. This is based on the premise that the OIP is a result of rational negotiations and</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comprehensive due diligence by sophisticated financial investors, inherently making it a fair market value. It first</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0"/>
              </w:rPr>
              <w:t>computes the value that can be allocated to each security such that the allocated value per share is exactly equal to</w:t>
            </w:r>
          </w:p>
        </w:tc>
      </w:tr>
      <w:tr>
        <w:trPr>
          <w:trHeight w:val="230"/>
        </w:trPr>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the OIP.</w:t>
            </w: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Market—Scenario</w:t>
            </w:r>
          </w:p>
        </w:tc>
        <w:tc>
          <w:tcPr>
            <w:tcW w:w="8380" w:type="dxa"/>
            <w:vAlign w:val="bottom"/>
          </w:tcPr>
          <w:p>
            <w:pPr>
              <w:spacing w:after="0"/>
              <w:rPr>
                <w:sz w:val="20"/>
                <w:szCs w:val="20"/>
                <w:color w:val="auto"/>
              </w:rPr>
            </w:pPr>
            <w:r>
              <w:rPr>
                <w:rFonts w:ascii="Arial" w:cs="Arial" w:eastAsia="Arial" w:hAnsi="Arial"/>
                <w:sz w:val="18"/>
                <w:szCs w:val="18"/>
                <w:color w:val="auto"/>
                <w:w w:val="90"/>
              </w:rPr>
              <w:t>The market scenario method is based on actual prices paid in mergers and acquisitions for similar public and private</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companies. Also referred to as guideline merged and acquired method (“GMAC”), the GMAC method generally</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6"/>
              </w:rPr>
              <w:t>entails the development of revenue, earnings, or book value multiples based on the implied BEV of the target</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companies. In identifying the comparable publicly traded companies and similar transactions, financial and non-</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financial factors are usually considered (e.g., business description, size, leverage, and profitability). These methods</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6"/>
              </w:rPr>
              <w:t>are most commonly employed when similar transactions exist in the market and/or a similar set of reasonably</w:t>
            </w:r>
          </w:p>
        </w:tc>
      </w:tr>
      <w:tr>
        <w:trPr>
          <w:trHeight w:val="230"/>
        </w:trPr>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comparable public companies can be identified.</w:t>
            </w: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Income Based—DCF</w:t>
            </w:r>
          </w:p>
        </w:tc>
        <w:tc>
          <w:tcPr>
            <w:tcW w:w="8380" w:type="dxa"/>
            <w:vAlign w:val="bottom"/>
          </w:tcPr>
          <w:p>
            <w:pPr>
              <w:spacing w:after="0"/>
              <w:rPr>
                <w:sz w:val="20"/>
                <w:szCs w:val="20"/>
                <w:color w:val="auto"/>
              </w:rPr>
            </w:pPr>
            <w:r>
              <w:rPr>
                <w:rFonts w:ascii="Arial" w:cs="Arial" w:eastAsia="Arial" w:hAnsi="Arial"/>
                <w:sz w:val="18"/>
                <w:szCs w:val="18"/>
                <w:color w:val="auto"/>
                <w:w w:val="91"/>
              </w:rPr>
              <w:t>The income approach is used to estimate fair value based on the income streams, such as cash flows or earnings,</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8"/>
              </w:rPr>
              <w:t>that an asset or business can be expected to generate. The discounted cash flow (“DCF”) method involves</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estimating the future cash flow of an asset or business for a certain discrete period and discounting to a present</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value. If the cash flow stream is expected to continue beyond the discrete period, the reversionary or terminal value</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5"/>
              </w:rPr>
              <w:t>is estimated and discounted to present value. The discount rate selected is based on consideration of the risks</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5"/>
              </w:rPr>
              <w:t>inherent in the investment and market rates of return available from alternative investments of similar type and</w:t>
            </w:r>
          </w:p>
        </w:tc>
      </w:tr>
      <w:tr>
        <w:trPr>
          <w:trHeight w:val="230"/>
        </w:trPr>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quality as of the valuation.</w:t>
            </w: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Asset/Cost</w:t>
            </w:r>
          </w:p>
        </w:tc>
        <w:tc>
          <w:tcPr>
            <w:tcW w:w="8380" w:type="dxa"/>
            <w:vAlign w:val="bottom"/>
          </w:tcPr>
          <w:p>
            <w:pPr>
              <w:spacing w:after="0"/>
              <w:rPr>
                <w:sz w:val="20"/>
                <w:szCs w:val="20"/>
                <w:color w:val="auto"/>
              </w:rPr>
            </w:pPr>
            <w:r>
              <w:rPr>
                <w:rFonts w:ascii="Arial" w:cs="Arial" w:eastAsia="Arial" w:hAnsi="Arial"/>
                <w:sz w:val="18"/>
                <w:szCs w:val="18"/>
                <w:color w:val="auto"/>
                <w:w w:val="96"/>
              </w:rPr>
              <w:t>The asset/cost approach considers reproduction or replacement cost as an indicator of value. The asset/cost</w:t>
            </w:r>
          </w:p>
        </w:tc>
      </w:tr>
      <w:tr>
        <w:trPr>
          <w:trHeight w:val="216"/>
        </w:trPr>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2"/>
              </w:rPr>
              <w:t>approach is based on the assumption that a prudent investor would pay no more for an entity than the amount for</w:t>
            </w:r>
          </w:p>
        </w:tc>
      </w:tr>
      <w:tr>
        <w:trPr>
          <w:trHeight w:val="230"/>
        </w:trPr>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6"/>
              </w:rPr>
              <w:t>which he could replace or recreate it or an asset with similar utility. Historical costs are often used to estimate</w:t>
            </w:r>
          </w:p>
        </w:tc>
      </w:tr>
      <w:tr>
        <w:trPr>
          <w:trHeight w:val="365"/>
        </w:trPr>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380" w:type="dxa"/>
            <w:vAlign w:val="bottom"/>
          </w:tcPr>
          <w:p>
            <w:pPr>
              <w:ind w:left="2700"/>
              <w:spacing w:after="0"/>
              <w:rPr>
                <w:sz w:val="20"/>
                <w:szCs w:val="20"/>
                <w:color w:val="auto"/>
              </w:rPr>
            </w:pPr>
            <w:r>
              <w:rPr>
                <w:rFonts w:ascii="Arial" w:cs="Arial" w:eastAsia="Arial" w:hAnsi="Arial"/>
                <w:sz w:val="18"/>
                <w:szCs w:val="18"/>
                <w:color w:val="auto"/>
              </w:rPr>
              <w:t>F-98</w:t>
            </w:r>
          </w:p>
        </w:tc>
      </w:tr>
    </w:tbl>
    <w:p>
      <w:pPr>
        <w:sectPr>
          <w:pgSz w:w="11900" w:h="16838" w:orient="portrait"/>
          <w:cols w:equalWidth="0" w:num="1">
            <w:col w:w="11140"/>
          </w:cols>
          <w:pgMar w:left="320" w:top="459" w:right="4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4"/>
          <w:szCs w:val="14"/>
          <w:b w:val="1"/>
          <w:bCs w:val="1"/>
          <w:u w:val="single" w:color="auto"/>
          <w:color w:val="auto"/>
        </w:rPr>
        <w:t>Valuation Method</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53149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5" w:lineRule="exact"/>
        <w:rPr>
          <w:sz w:val="20"/>
          <w:szCs w:val="20"/>
          <w:color w:val="auto"/>
        </w:rPr>
      </w:pPr>
    </w:p>
    <w:p>
      <w:pPr>
        <w:ind w:left="2760" w:right="140"/>
        <w:spacing w:after="0" w:line="262" w:lineRule="auto"/>
        <w:rPr>
          <w:sz w:val="20"/>
          <w:szCs w:val="20"/>
          <w:color w:val="auto"/>
        </w:rPr>
      </w:pPr>
      <w:r>
        <w:rPr>
          <w:rFonts w:ascii="Arial" w:cs="Arial" w:eastAsia="Arial" w:hAnsi="Arial"/>
          <w:sz w:val="18"/>
          <w:szCs w:val="18"/>
          <w:color w:val="auto"/>
        </w:rPr>
        <w:t>the current cost of replacing the entity valued. When using the cost approach to value a business enterprise, the equity value is calculated as the appraised fair market value of the individual assets that comprise the business less the fair market value of the liabilities.</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During the six months ended June 30, 2020 and year ended December 31, 2019, at each measurement date, the total fair value of preferred share, warrants and convertible note instruments, including embedded conversion rights that are not bifurcated, was determined using an option pricing model (“OPM”), probability-weighted expected return method (“PWERM”) or Hybrid allocation framework. The methods are detailed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Allocation Method</w:t>
            </w:r>
          </w:p>
        </w:tc>
        <w:tc>
          <w:tcPr>
            <w:tcW w:w="1500" w:type="dxa"/>
            <w:vAlign w:val="bottom"/>
          </w:tcPr>
          <w:p>
            <w:pPr>
              <w:spacing w:after="0"/>
              <w:rPr>
                <w:sz w:val="16"/>
                <w:szCs w:val="16"/>
                <w:color w:val="auto"/>
              </w:rPr>
            </w:pPr>
          </w:p>
        </w:tc>
        <w:tc>
          <w:tcPr>
            <w:tcW w:w="838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140" w:type="dxa"/>
            <w:vAlign w:val="bottom"/>
          </w:tcPr>
          <w:p>
            <w:pPr>
              <w:spacing w:after="0" w:line="189" w:lineRule="exact"/>
              <w:rPr>
                <w:sz w:val="20"/>
                <w:szCs w:val="20"/>
                <w:color w:val="auto"/>
              </w:rPr>
            </w:pPr>
            <w:r>
              <w:rPr>
                <w:rFonts w:ascii="Arial" w:cs="Arial" w:eastAsia="Arial" w:hAnsi="Arial"/>
                <w:sz w:val="18"/>
                <w:szCs w:val="18"/>
                <w:color w:val="auto"/>
              </w:rPr>
              <w:t>OPM</w:t>
            </w:r>
          </w:p>
        </w:tc>
        <w:tc>
          <w:tcPr>
            <w:tcW w:w="1500" w:type="dxa"/>
            <w:vAlign w:val="bottom"/>
          </w:tcPr>
          <w:p>
            <w:pPr>
              <w:spacing w:after="0"/>
              <w:rPr>
                <w:sz w:val="16"/>
                <w:szCs w:val="16"/>
                <w:color w:val="auto"/>
              </w:rPr>
            </w:pPr>
          </w:p>
        </w:tc>
        <w:tc>
          <w:tcPr>
            <w:tcW w:w="8380" w:type="dxa"/>
            <w:vAlign w:val="bottom"/>
          </w:tcPr>
          <w:p>
            <w:pPr>
              <w:spacing w:after="0" w:line="189" w:lineRule="exact"/>
              <w:rPr>
                <w:sz w:val="20"/>
                <w:szCs w:val="20"/>
                <w:color w:val="auto"/>
              </w:rPr>
            </w:pPr>
            <w:r>
              <w:rPr>
                <w:rFonts w:ascii="Arial" w:cs="Arial" w:eastAsia="Arial" w:hAnsi="Arial"/>
                <w:sz w:val="18"/>
                <w:szCs w:val="18"/>
                <w:color w:val="auto"/>
                <w:w w:val="90"/>
              </w:rPr>
              <w:t>The OPM model treats preferred stock as call options on the enterprise’s equity value, with exercise prices based on</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7"/>
              </w:rPr>
              <w:t>the liquidation preferences of the preferred stock. Under this method, the shares have value only if the funds</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available for distribution to shareholders exceed the value of the liquidation preferences at the time of a liquidity</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event (e.g., a merger, sale or IPO), assuming the company has funds available to make a liquidation preference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meaningful and collectible by the shareholders. The OPM begins with the current equity or enterprise value and</w:t>
            </w:r>
          </w:p>
        </w:tc>
      </w:tr>
      <w:tr>
        <w:trPr>
          <w:trHeight w:val="230"/>
        </w:trPr>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estimates the future distribution of outcomes using a lognormal distribution around that current value.</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PWERM</w:t>
            </w:r>
          </w:p>
        </w:tc>
        <w:tc>
          <w:tcPr>
            <w:tcW w:w="15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5"/>
              </w:rPr>
              <w:t>Under a PWERM, the value of the preferred stock is estimated based upon an analysis of future values for the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enterprise assuming various future outcomes. Share value is based upon the probability-weighted present value of</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expected future investment returns, considering each of the possible future outcomes available to the enterprise, as</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3"/>
              </w:rPr>
              <w:t>well as the rights of each share class. Although the future outcomes considered in any given valuation model will</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vary based upon the enterprise’s facts and circumstances, common future outcomes modeled might include an</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9"/>
              </w:rPr>
              <w:t>initial public offering (“IPO”), merger or acquisition (“M&amp;A”), dissolution, or continued operation as a viable</w:t>
            </w:r>
          </w:p>
        </w:tc>
      </w:tr>
      <w:tr>
        <w:trPr>
          <w:trHeight w:val="230"/>
        </w:trPr>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private enterprise</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Hybrid</w:t>
            </w:r>
          </w:p>
        </w:tc>
        <w:tc>
          <w:tcPr>
            <w:tcW w:w="15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The hybrid method (“HM”) is a combination of the PWERM and OPM. Under the hybrid method, multiple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liquidity scenarios are weighted based on the probability of the scenarios occurrence, similar to the PWERM, while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also utilizing the OPM to estimate the allocation of value in one or more of the scenarios. The HM is used when the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3"/>
              </w:rPr>
              <w:t>company is aware of one or more future exit opportunities that result in vastly different payout structures, such as</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2"/>
              </w:rPr>
              <w:t>M&amp;A as compared to IPO. The HM is advantageous in these situations because it utilizes the framework of option</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6"/>
              </w:rPr>
              <w:t>pricing theory to model a continuous distribution of future outcomes and capture the option-like payoffs of the</w:t>
            </w:r>
          </w:p>
        </w:tc>
      </w:tr>
      <w:tr>
        <w:trPr>
          <w:trHeight w:val="216"/>
        </w:trPr>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various share classes while also explicitly considering future scenarios and the discontinuities in outcomes that</w:t>
            </w:r>
          </w:p>
        </w:tc>
      </w:tr>
      <w:tr>
        <w:trPr>
          <w:trHeight w:val="230"/>
        </w:trPr>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early-stage companies experience.</w:t>
            </w:r>
          </w:p>
        </w:tc>
      </w:tr>
    </w:tbl>
    <w:p>
      <w:pPr>
        <w:spacing w:after="0" w:line="202"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Valuation policies and procedures are regularly monitored by the Company’s finance group. Fair value measurements, including those categorized within Level 3, are prepared and reviewed on their issuance date and then on an annual basis and any third-party valuations are reviewed for reasonableness and compliance with the fair value measurements guidance under IFRS.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Consideration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At June 30, 2020</w:t>
      </w:r>
      <w:r>
        <w:rPr>
          <w:rFonts w:ascii="Arial" w:cs="Arial" w:eastAsia="Arial" w:hAnsi="Arial"/>
          <w:sz w:val="18"/>
          <w:szCs w:val="18"/>
          <w:i w:val="1"/>
          <w:iCs w:val="1"/>
          <w:color w:val="auto"/>
        </w:rPr>
        <w:t>, t</w:t>
      </w:r>
      <w:r>
        <w:rPr>
          <w:rFonts w:ascii="Arial" w:cs="Arial" w:eastAsia="Arial" w:hAnsi="Arial"/>
          <w:sz w:val="18"/>
          <w:szCs w:val="18"/>
          <w:color w:val="auto"/>
        </w:rPr>
        <w:t>he Group assessed certain key assumptions within the valuation of its unquoted instruments and considered the impact of the COVID-19 pandemic on all unobservable inputs (Level 3). The assumptions considered with respect to COVID-19 included but were not limited to the following: exit scenarios and timing,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discount rates, revenue assumptions as well as volatilities. Additionally, the Group disclosed additional sensitivities with respect to COVID-19, increasing/ decreasing enterprise values by a magnitude of 10.0 per cent and increasing/ decreasing volatilities by a magnitude of 25.0 per cent.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Preferred Shares Liability and Subsidiary Convertible Notes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the changes in the Group’s subsidiary preferred shares and convertible note liabilities measured at fair value using significant unobservable inputs (Level 3):</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4"/>
                <w:szCs w:val="14"/>
                <w:color w:val="auto"/>
                <w:w w:val="92"/>
              </w:rPr>
              <w:t>Subsidiary Preferred</w:t>
            </w:r>
          </w:p>
        </w:tc>
        <w:tc>
          <w:tcPr>
            <w:tcW w:w="1380" w:type="dxa"/>
            <w:vAlign w:val="bottom"/>
            <w:gridSpan w:val="2"/>
          </w:tcPr>
          <w:p>
            <w:pPr>
              <w:spacing w:after="0"/>
              <w:rPr>
                <w:sz w:val="20"/>
                <w:szCs w:val="20"/>
                <w:color w:val="auto"/>
              </w:rPr>
            </w:pPr>
            <w:r>
              <w:rPr>
                <w:rFonts w:ascii="Arial" w:cs="Arial" w:eastAsia="Arial" w:hAnsi="Arial"/>
                <w:sz w:val="14"/>
                <w:szCs w:val="14"/>
                <w:color w:val="auto"/>
                <w:w w:val="97"/>
              </w:rPr>
              <w:t>Subsidiary Convertible</w:t>
            </w:r>
          </w:p>
        </w:tc>
      </w:tr>
      <w:tr>
        <w:trPr>
          <w:trHeight w:val="148"/>
        </w:trPr>
        <w:tc>
          <w:tcPr>
            <w:tcW w:w="4600" w:type="dxa"/>
            <w:vAlign w:val="bottom"/>
          </w:tcPr>
          <w:p>
            <w:pPr>
              <w:spacing w:after="0"/>
              <w:rPr>
                <w:sz w:val="12"/>
                <w:szCs w:val="12"/>
                <w:color w:val="auto"/>
              </w:rPr>
            </w:pPr>
          </w:p>
        </w:tc>
        <w:tc>
          <w:tcPr>
            <w:tcW w:w="2380" w:type="dxa"/>
            <w:vAlign w:val="bottom"/>
            <w:gridSpan w:val="4"/>
          </w:tcPr>
          <w:p>
            <w:pPr>
              <w:jc w:val="center"/>
              <w:ind w:right="1200"/>
              <w:spacing w:after="0" w:line="149" w:lineRule="exact"/>
              <w:rPr>
                <w:sz w:val="20"/>
                <w:szCs w:val="20"/>
                <w:color w:val="auto"/>
              </w:rPr>
            </w:pPr>
            <w:r>
              <w:rPr>
                <w:rFonts w:ascii="Arial" w:cs="Arial" w:eastAsia="Arial" w:hAnsi="Arial"/>
                <w:sz w:val="14"/>
                <w:szCs w:val="14"/>
                <w:color w:val="auto"/>
                <w:w w:val="85"/>
              </w:rPr>
              <w:t>Shares</w:t>
            </w:r>
          </w:p>
        </w:tc>
        <w:tc>
          <w:tcPr>
            <w:tcW w:w="13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Notes</w:t>
            </w:r>
          </w:p>
        </w:tc>
      </w:tr>
      <w:tr>
        <w:trPr>
          <w:trHeight w:val="182"/>
        </w:trPr>
        <w:tc>
          <w:tcPr>
            <w:tcW w:w="4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000s</w:t>
            </w:r>
          </w:p>
        </w:tc>
        <w:tc>
          <w:tcPr>
            <w:tcW w:w="1600" w:type="dxa"/>
            <w:vAlign w:val="bottom"/>
            <w:gridSpan w:val="2"/>
          </w:tcPr>
          <w:p>
            <w:pPr>
              <w:spacing w:after="0"/>
              <w:rPr>
                <w:sz w:val="15"/>
                <w:szCs w:val="15"/>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color w:val="auto"/>
              </w:rPr>
              <w:t>$000s</w:t>
            </w:r>
          </w:p>
        </w:tc>
      </w:tr>
      <w:tr>
        <w:trPr>
          <w:trHeight w:val="203"/>
        </w:trPr>
        <w:tc>
          <w:tcPr>
            <w:tcW w:w="4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2380" w:type="dxa"/>
            <w:vAlign w:val="bottom"/>
            <w:tcBorders>
              <w:top w:val="single" w:sz="8" w:color="CCEEFF"/>
            </w:tcBorders>
            <w:gridSpan w:val="4"/>
            <w:shd w:val="clear" w:color="auto" w:fill="CCEEFF"/>
          </w:tcPr>
          <w:p>
            <w:pPr>
              <w:jc w:val="right"/>
              <w:ind w:right="1180"/>
              <w:spacing w:after="0" w:line="203" w:lineRule="exact"/>
              <w:rPr>
                <w:sz w:val="20"/>
                <w:szCs w:val="20"/>
                <w:color w:val="auto"/>
              </w:rPr>
            </w:pPr>
            <w:r>
              <w:rPr>
                <w:rFonts w:ascii="Arial" w:cs="Arial" w:eastAsia="Arial" w:hAnsi="Arial"/>
                <w:sz w:val="18"/>
                <w:szCs w:val="18"/>
                <w:color w:val="auto"/>
              </w:rPr>
              <w:t>100,989</w:t>
            </w:r>
          </w:p>
        </w:tc>
        <w:tc>
          <w:tcPr>
            <w:tcW w:w="1340" w:type="dxa"/>
            <w:vAlign w:val="bottom"/>
            <w:tcBorders>
              <w:top w:val="single" w:sz="8" w:color="auto"/>
            </w:tcBorders>
            <w:shd w:val="clear" w:color="auto" w:fill="CCEEFF"/>
          </w:tcPr>
          <w:p>
            <w:pPr>
              <w:ind w:left="1060"/>
              <w:spacing w:after="0" w:line="203" w:lineRule="exact"/>
              <w:rPr>
                <w:sz w:val="20"/>
                <w:szCs w:val="20"/>
                <w:color w:val="auto"/>
              </w:rPr>
            </w:pPr>
            <w:r>
              <w:rPr>
                <w:rFonts w:ascii="Arial" w:cs="Arial" w:eastAsia="Arial" w:hAnsi="Arial"/>
                <w:sz w:val="18"/>
                <w:szCs w:val="18"/>
                <w:color w:val="auto"/>
                <w:w w:val="86"/>
              </w:rPr>
              <w:t>125</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Value at issuance</w:t>
            </w:r>
          </w:p>
        </w:tc>
        <w:tc>
          <w:tcPr>
            <w:tcW w:w="2380" w:type="dxa"/>
            <w:vAlign w:val="bottom"/>
            <w:gridSpan w:val="4"/>
          </w:tcPr>
          <w:p>
            <w:pPr>
              <w:jc w:val="right"/>
              <w:ind w:right="1180"/>
              <w:spacing w:after="0"/>
              <w:rPr>
                <w:sz w:val="20"/>
                <w:szCs w:val="20"/>
                <w:color w:val="auto"/>
              </w:rPr>
            </w:pPr>
            <w:r>
              <w:rPr>
                <w:rFonts w:ascii="Arial" w:cs="Arial" w:eastAsia="Arial" w:hAnsi="Arial"/>
                <w:sz w:val="18"/>
                <w:szCs w:val="18"/>
                <w:color w:val="auto"/>
              </w:rPr>
              <w:t>11,250</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380" w:type="dxa"/>
            <w:vAlign w:val="bottom"/>
            <w:gridSpan w:val="4"/>
            <w:shd w:val="clear" w:color="auto" w:fill="CCEEFF"/>
          </w:tcPr>
          <w:p>
            <w:pPr>
              <w:jc w:val="right"/>
              <w:ind w:right="1120"/>
              <w:spacing w:after="0"/>
              <w:rPr>
                <w:sz w:val="20"/>
                <w:szCs w:val="20"/>
                <w:color w:val="auto"/>
              </w:rPr>
            </w:pPr>
            <w:r>
              <w:rPr>
                <w:rFonts w:ascii="Arial" w:cs="Arial" w:eastAsia="Arial" w:hAnsi="Arial"/>
                <w:sz w:val="18"/>
                <w:szCs w:val="18"/>
                <w:color w:val="auto"/>
              </w:rPr>
              <w:t>(999)</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2380" w:type="dxa"/>
            <w:vAlign w:val="bottom"/>
            <w:gridSpan w:val="4"/>
          </w:tcPr>
          <w:p>
            <w:pPr>
              <w:jc w:val="right"/>
              <w:ind w:right="112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111,238</w:t>
            </w:r>
          </w:p>
        </w:tc>
        <w:tc>
          <w:tcPr>
            <w:tcW w:w="118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w w:val="86"/>
              </w:rPr>
              <w:t>125</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Quantitative information about the significant unobservable inputs used in the fair value measurement of the Group’s subsidiary preferred share liabilities designated as Level 3 is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Pricing Model Inputs for Preferred Shares under IFRS 9 at June 30, 2020:</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w w:val="88"/>
              </w:rPr>
              <w:t>Range of Values</w:t>
            </w:r>
          </w:p>
        </w:tc>
        <w:tc>
          <w:tcPr>
            <w:tcW w:w="1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00" w:type="dxa"/>
            <w:vAlign w:val="bottom"/>
            <w:vMerge w:val="restart"/>
          </w:tcPr>
          <w:p>
            <w:pPr>
              <w:spacing w:after="0"/>
              <w:rPr>
                <w:sz w:val="20"/>
                <w:szCs w:val="20"/>
                <w:color w:val="auto"/>
              </w:rPr>
            </w:pPr>
            <w:r>
              <w:rPr>
                <w:rFonts w:ascii="Arial" w:cs="Arial" w:eastAsia="Arial" w:hAnsi="Arial"/>
                <w:sz w:val="14"/>
                <w:szCs w:val="14"/>
                <w:color w:val="auto"/>
                <w:w w:val="90"/>
              </w:rPr>
              <w:t>Measurement Date</w:t>
            </w:r>
          </w:p>
        </w:tc>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4"/>
                <w:szCs w:val="14"/>
                <w:color w:val="auto"/>
                <w:w w:val="98"/>
              </w:rPr>
              <w:t>Probability of</w:t>
            </w:r>
          </w:p>
        </w:tc>
        <w:tc>
          <w:tcPr>
            <w:tcW w:w="0" w:type="dxa"/>
            <w:vAlign w:val="bottom"/>
          </w:tcPr>
          <w:p>
            <w:pPr>
              <w:spacing w:after="0"/>
              <w:rPr>
                <w:sz w:val="1"/>
                <w:szCs w:val="1"/>
                <w:color w:val="auto"/>
              </w:rPr>
            </w:pPr>
          </w:p>
        </w:tc>
      </w:tr>
      <w:tr>
        <w:trPr>
          <w:trHeight w:val="174"/>
        </w:trPr>
        <w:tc>
          <w:tcPr>
            <w:tcW w:w="1100" w:type="dxa"/>
            <w:vAlign w:val="bottom"/>
            <w:tcBorders>
              <w:bottom w:val="single" w:sz="8" w:color="auto"/>
            </w:tcBorders>
            <w:vMerge w:val="continue"/>
          </w:tcPr>
          <w:p>
            <w:pPr>
              <w:spacing w:after="0"/>
              <w:rPr>
                <w:sz w:val="15"/>
                <w:szCs w:val="15"/>
                <w:color w:val="auto"/>
              </w:rPr>
            </w:pPr>
          </w:p>
        </w:tc>
        <w:tc>
          <w:tcPr>
            <w:tcW w:w="2740" w:type="dxa"/>
            <w:vAlign w:val="bottom"/>
          </w:tcPr>
          <w:p>
            <w:pPr>
              <w:spacing w:after="0"/>
              <w:rPr>
                <w:sz w:val="15"/>
                <w:szCs w:val="15"/>
                <w:color w:val="auto"/>
              </w:rPr>
            </w:pPr>
          </w:p>
        </w:tc>
        <w:tc>
          <w:tcPr>
            <w:tcW w:w="168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Expiration Date</w:t>
            </w:r>
          </w:p>
        </w:tc>
        <w:tc>
          <w:tcPr>
            <w:tcW w:w="1940" w:type="dxa"/>
            <w:vAlign w:val="bottom"/>
            <w:gridSpan w:val="2"/>
          </w:tcPr>
          <w:p>
            <w:pPr>
              <w:ind w:left="480"/>
              <w:spacing w:after="0" w:line="154" w:lineRule="exact"/>
              <w:rPr>
                <w:sz w:val="20"/>
                <w:szCs w:val="20"/>
                <w:color w:val="auto"/>
              </w:rPr>
            </w:pPr>
            <w:r>
              <w:rPr>
                <w:rFonts w:ascii="Arial" w:cs="Arial" w:eastAsia="Arial" w:hAnsi="Arial"/>
                <w:sz w:val="14"/>
                <w:szCs w:val="14"/>
                <w:color w:val="auto"/>
              </w:rPr>
              <w:t>Volatility</w:t>
            </w:r>
          </w:p>
        </w:tc>
        <w:tc>
          <w:tcPr>
            <w:tcW w:w="1760" w:type="dxa"/>
            <w:vAlign w:val="bottom"/>
            <w:gridSpan w:val="2"/>
          </w:tcPr>
          <w:p>
            <w:pPr>
              <w:ind w:left="220"/>
              <w:spacing w:after="0" w:line="154" w:lineRule="exact"/>
              <w:rPr>
                <w:sz w:val="20"/>
                <w:szCs w:val="20"/>
                <w:color w:val="auto"/>
              </w:rPr>
            </w:pPr>
            <w:r>
              <w:rPr>
                <w:rFonts w:ascii="Arial" w:cs="Arial" w:eastAsia="Arial" w:hAnsi="Arial"/>
                <w:sz w:val="14"/>
                <w:szCs w:val="14"/>
                <w:color w:val="auto"/>
              </w:rPr>
              <w:t>Risk Free Rate</w:t>
            </w:r>
          </w:p>
        </w:tc>
        <w:tc>
          <w:tcPr>
            <w:tcW w:w="900" w:type="dxa"/>
            <w:vAlign w:val="bottom"/>
          </w:tcPr>
          <w:p>
            <w:pPr>
              <w:jc w:val="center"/>
              <w:spacing w:after="0" w:line="154" w:lineRule="exact"/>
              <w:rPr>
                <w:sz w:val="20"/>
                <w:szCs w:val="20"/>
                <w:color w:val="auto"/>
              </w:rPr>
            </w:pPr>
            <w:r>
              <w:rPr>
                <w:rFonts w:ascii="Arial" w:cs="Arial" w:eastAsia="Arial" w:hAnsi="Arial"/>
                <w:sz w:val="14"/>
                <w:szCs w:val="14"/>
                <w:color w:val="auto"/>
              </w:rPr>
              <w:t>IPO/M&amp;A</w:t>
            </w:r>
          </w:p>
        </w:tc>
        <w:tc>
          <w:tcPr>
            <w:tcW w:w="0" w:type="dxa"/>
            <w:vAlign w:val="bottom"/>
          </w:tcPr>
          <w:p>
            <w:pPr>
              <w:spacing w:after="0"/>
              <w:rPr>
                <w:sz w:val="1"/>
                <w:szCs w:val="1"/>
                <w:color w:val="auto"/>
              </w:rPr>
            </w:pPr>
          </w:p>
        </w:tc>
      </w:tr>
      <w:tr>
        <w:trPr>
          <w:trHeight w:val="203"/>
        </w:trPr>
        <w:tc>
          <w:tcPr>
            <w:tcW w:w="1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31/12/2019</w:t>
            </w:r>
          </w:p>
        </w:tc>
        <w:tc>
          <w:tcPr>
            <w:tcW w:w="2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7"/>
              </w:rPr>
              <w:t>0.7 – 2.0 years</w:t>
            </w:r>
          </w:p>
        </w:tc>
        <w:tc>
          <w:tcPr>
            <w:tcW w:w="4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30.00% – 85.00%</w:t>
            </w:r>
          </w:p>
        </w:tc>
        <w:tc>
          <w:tcPr>
            <w:tcW w:w="4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1.58% – 1.60%</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65%/35%</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30/6/2020</w:t>
            </w:r>
          </w:p>
        </w:tc>
        <w:tc>
          <w:tcPr>
            <w:tcW w:w="27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1.4 – 2.5 years</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35.00% – 85.00%</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0.16% – 0.17%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65%/35%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Preferred Shares Sensitivity</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summarizes the sensitivity from the assumptions made by the Company in respect to the unobservable inputs used in the fair value measurement of the Group’s preferred share liabilities, which are recorded at fair value (Please refer to Note 12).</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gridSpan w:val="4"/>
          </w:tcPr>
          <w:p>
            <w:pPr>
              <w:jc w:val="right"/>
              <w:ind w:right="840"/>
              <w:spacing w:after="0"/>
              <w:rPr>
                <w:sz w:val="20"/>
                <w:szCs w:val="20"/>
                <w:color w:val="auto"/>
              </w:rPr>
            </w:pPr>
            <w:r>
              <w:rPr>
                <w:rFonts w:ascii="Arial" w:cs="Arial" w:eastAsia="Arial" w:hAnsi="Arial"/>
                <w:sz w:val="14"/>
                <w:szCs w:val="14"/>
                <w:color w:val="auto"/>
              </w:rPr>
              <w:t>Subsidiary Preferred Shares</w:t>
            </w:r>
          </w:p>
        </w:tc>
        <w:tc>
          <w:tcPr>
            <w:tcW w:w="0" w:type="dxa"/>
            <w:vAlign w:val="bottom"/>
          </w:tcPr>
          <w:p>
            <w:pPr>
              <w:spacing w:after="0"/>
              <w:rPr>
                <w:sz w:val="1"/>
                <w:szCs w:val="1"/>
                <w:color w:val="auto"/>
              </w:rPr>
            </w:pPr>
          </w:p>
        </w:tc>
      </w:tr>
      <w:tr>
        <w:trPr>
          <w:trHeight w:val="123"/>
        </w:trPr>
        <w:tc>
          <w:tcPr>
            <w:tcW w:w="4400" w:type="dxa"/>
            <w:vAlign w:val="bottom"/>
            <w:gridSpan w:val="3"/>
            <w:vMerge w:val="restart"/>
          </w:tcPr>
          <w:p>
            <w:pPr>
              <w:spacing w:after="0"/>
              <w:rPr>
                <w:sz w:val="20"/>
                <w:szCs w:val="20"/>
                <w:color w:val="auto"/>
              </w:rPr>
            </w:pPr>
            <w:r>
              <w:rPr>
                <w:rFonts w:ascii="Arial" w:cs="Arial" w:eastAsia="Arial" w:hAnsi="Arial"/>
                <w:sz w:val="14"/>
                <w:szCs w:val="14"/>
                <w:color w:val="auto"/>
              </w:rPr>
              <w:t>Input</w:t>
            </w:r>
          </w:p>
        </w:tc>
        <w:tc>
          <w:tcPr>
            <w:tcW w:w="7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Financial Liability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40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1960" w:type="dxa"/>
            <w:vAlign w:val="bottom"/>
            <w:gridSpan w:val="2"/>
          </w:tcPr>
          <w:p>
            <w:pPr>
              <w:jc w:val="right"/>
              <w:ind w:right="900"/>
              <w:spacing w:after="0" w:line="154" w:lineRule="exact"/>
              <w:rPr>
                <w:sz w:val="20"/>
                <w:szCs w:val="20"/>
                <w:color w:val="auto"/>
              </w:rPr>
            </w:pPr>
            <w:r>
              <w:rPr>
                <w:rFonts w:ascii="Arial" w:cs="Arial" w:eastAsia="Arial" w:hAnsi="Arial"/>
                <w:sz w:val="14"/>
                <w:szCs w:val="14"/>
                <w:color w:val="auto"/>
                <w:w w:val="96"/>
              </w:rPr>
              <w:t>Sensitivity Range</w:t>
            </w:r>
          </w:p>
        </w:tc>
        <w:tc>
          <w:tcPr>
            <w:tcW w:w="12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22"/>
        </w:trPr>
        <w:tc>
          <w:tcPr>
            <w:tcW w:w="30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w w:val="79"/>
              </w:rPr>
              <w:t>As of</w:t>
            </w:r>
          </w:p>
        </w:tc>
        <w:tc>
          <w:tcPr>
            <w:tcW w:w="4100" w:type="dxa"/>
            <w:vAlign w:val="bottom"/>
            <w:gridSpan w:val="2"/>
          </w:tcPr>
          <w:p>
            <w:pPr>
              <w:ind w:left="60"/>
              <w:spacing w:after="0" w:line="122" w:lineRule="exact"/>
              <w:rPr>
                <w:sz w:val="20"/>
                <w:szCs w:val="20"/>
                <w:color w:val="auto"/>
              </w:rPr>
            </w:pPr>
            <w:r>
              <w:rPr>
                <w:rFonts w:ascii="Arial" w:cs="Arial" w:eastAsia="Arial" w:hAnsi="Arial"/>
                <w:sz w:val="14"/>
                <w:szCs w:val="14"/>
                <w:b w:val="1"/>
                <w:bCs w:val="1"/>
                <w:color w:val="auto"/>
              </w:rPr>
              <w:t>June 30, 2020</w:t>
            </w:r>
          </w:p>
        </w:tc>
        <w:tc>
          <w:tcPr>
            <w:tcW w:w="7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87"/>
              </w:rPr>
              <w:t>$000s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(1,932)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(9,702)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9,679</w:t>
            </w: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Volatility</w:t>
            </w:r>
          </w:p>
        </w:tc>
        <w:tc>
          <w:tcPr>
            <w:tcW w:w="7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0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960" w:type="dxa"/>
            <w:vAlign w:val="bottom"/>
            <w:gridSpan w:val="2"/>
          </w:tcPr>
          <w:p>
            <w:pPr>
              <w:jc w:val="right"/>
              <w:ind w:right="720"/>
              <w:spacing w:after="0" w:line="205" w:lineRule="exact"/>
              <w:rPr>
                <w:sz w:val="20"/>
                <w:szCs w:val="20"/>
                <w:color w:val="auto"/>
              </w:rPr>
            </w:pPr>
            <w:r>
              <w:rPr>
                <w:rFonts w:ascii="Arial" w:cs="Arial" w:eastAsia="Arial" w:hAnsi="Arial"/>
                <w:sz w:val="18"/>
                <w:szCs w:val="18"/>
                <w:color w:val="auto"/>
              </w:rPr>
              <w:t>-10%</w:t>
            </w: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751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20" w:type="dxa"/>
            <w:vAlign w:val="bottom"/>
            <w:gridSpan w:val="3"/>
          </w:tcPr>
          <w:p>
            <w:pPr>
              <w:jc w:val="right"/>
              <w:ind w:right="72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20" w:type="dxa"/>
            <w:vAlign w:val="bottom"/>
            <w:gridSpan w:val="3"/>
          </w:tcPr>
          <w:p>
            <w:pPr>
              <w:jc w:val="right"/>
              <w:ind w:right="72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(2,091)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 Months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826</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 Months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(679)</w:t>
            </w: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Risk-free Rate¹</w:t>
            </w:r>
          </w:p>
        </w:tc>
        <w:tc>
          <w:tcPr>
            <w:tcW w:w="7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0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960" w:type="dxa"/>
            <w:vAlign w:val="bottom"/>
            <w:gridSpan w:val="2"/>
          </w:tcPr>
          <w:p>
            <w:pPr>
              <w:jc w:val="right"/>
              <w:ind w:right="720"/>
              <w:spacing w:after="0" w:line="205" w:lineRule="exact"/>
              <w:rPr>
                <w:sz w:val="20"/>
                <w:szCs w:val="20"/>
                <w:color w:val="auto"/>
              </w:rPr>
            </w:pPr>
            <w:r>
              <w:rPr>
                <w:rFonts w:ascii="Arial" w:cs="Arial" w:eastAsia="Arial" w:hAnsi="Arial"/>
                <w:sz w:val="18"/>
                <w:szCs w:val="18"/>
                <w:color w:val="auto"/>
              </w:rPr>
              <w:t>-0.02%/-0.01%</w:t>
            </w: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826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+0.02%/+0.03%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IPO/M&amp;A Event Probability</w:t>
            </w: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3"/>
        </w:numPr>
        <w:rPr>
          <w:rFonts w:ascii="Arial" w:cs="Arial" w:eastAsia="Arial" w:hAnsi="Arial"/>
          <w:sz w:val="15"/>
          <w:szCs w:val="15"/>
          <w:color w:val="auto"/>
        </w:rPr>
      </w:pPr>
      <w:r>
        <w:rPr>
          <w:rFonts w:ascii="Arial" w:cs="Arial" w:eastAsia="Arial" w:hAnsi="Arial"/>
          <w:sz w:val="18"/>
          <w:szCs w:val="18"/>
          <w:color w:val="auto"/>
        </w:rPr>
        <w:t>Risk-free rate is a function of the time to liquidity input assumption.</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0680"/>
          </w:cols>
          <w:pgMar w:left="320" w:top="459" w:right="89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The change in fair value of preferred shares are recorded in Finance cost, net in the Condensed Consolidated Statements of Comprehensive Income/(Loss).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Assets Held at Fair Value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Level 1 Inputs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resTORbio Valuation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ResTORbio (NASDAQ: TORC) is a listed entity on an active exchange and as such the fair value during the six months ended June 30, 2020 was calculated utilizing the quoted common share price. Please refer to Note 5 for further details.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Karuna Valuation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Karuna (NASDAQ: KRTX) is a listed entity on an active exchange and as such the fair value as of June 30, 2020 was calculated utilizing the quoted common share price. Please refer to Note 5 for further details.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Level 3 Inputs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Akili, Gelesis and Vor Valuation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accordance with IFRS 9, the Company accounts for its preferred share investments in Akili, Gelesis and Vor as financial assets held at fair value through the profit and loss. During the six months ended June 30, 2020, the Company recorded its investment at fair value and recognized a gain of $15.4 million that was recorded to the Condensed Consolidated Statements of Comprehensive Income/(Loss) on the line item Gain/(loss) on investments held at fair value.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changes in the Group’s investments held at fair value using significant unobservable inputs (Level 3):</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$000s</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purchase of Gelesis preferred shares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purchase of Vor preferred shares (please refer to Note 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Gain/(loss)—fair value through profit and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w:t>
            </w:r>
          </w:p>
        </w:tc>
        <w:tc>
          <w:tcPr>
            <w:tcW w:w="4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180,951</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Option Pricing Model and Probability Weighted Expected Return Method Inputs for Investments Held at Fair Value at June 30, 2020 and December 31, 2019:</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w w:val="88"/>
              </w:rPr>
              <w:t>Range of Values</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2560" w:type="dxa"/>
            <w:vAlign w:val="bottom"/>
            <w:vMerge w:val="restart"/>
          </w:tcPr>
          <w:p>
            <w:pPr>
              <w:jc w:val="right"/>
              <w:spacing w:after="0"/>
              <w:rPr>
                <w:sz w:val="20"/>
                <w:szCs w:val="20"/>
                <w:color w:val="auto"/>
              </w:rPr>
            </w:pPr>
            <w:r>
              <w:rPr>
                <w:rFonts w:ascii="Arial" w:cs="Arial" w:eastAsia="Arial" w:hAnsi="Arial"/>
                <w:sz w:val="14"/>
                <w:szCs w:val="14"/>
                <w:color w:val="auto"/>
                <w:w w:val="92"/>
              </w:rPr>
              <w:t>PWERM (IPO Scenario) Measurement Date</w:t>
            </w: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900" w:type="dxa"/>
            <w:vAlign w:val="bottom"/>
            <w:gridSpan w:val="6"/>
          </w:tcPr>
          <w:p>
            <w:pPr>
              <w:jc w:val="center"/>
              <w:ind w:right="580"/>
              <w:spacing w:after="0" w:line="123" w:lineRule="exact"/>
              <w:rPr>
                <w:sz w:val="20"/>
                <w:szCs w:val="20"/>
                <w:color w:val="auto"/>
              </w:rPr>
            </w:pPr>
            <w:r>
              <w:rPr>
                <w:rFonts w:ascii="Arial" w:cs="Arial" w:eastAsia="Arial" w:hAnsi="Arial"/>
                <w:sz w:val="14"/>
                <w:szCs w:val="14"/>
                <w:color w:val="auto"/>
                <w:w w:val="96"/>
              </w:rPr>
              <w:t>Time to Anticipated</w:t>
            </w:r>
          </w:p>
        </w:tc>
        <w:tc>
          <w:tcPr>
            <w:tcW w:w="960" w:type="dxa"/>
            <w:vAlign w:val="bottom"/>
            <w:gridSpan w:val="2"/>
          </w:tcPr>
          <w:p>
            <w:pPr>
              <w:jc w:val="center"/>
              <w:ind w:right="116"/>
              <w:spacing w:after="0" w:line="123" w:lineRule="exact"/>
              <w:rPr>
                <w:sz w:val="20"/>
                <w:szCs w:val="20"/>
                <w:color w:val="auto"/>
              </w:rPr>
            </w:pPr>
            <w:r>
              <w:rPr>
                <w:rFonts w:ascii="Arial" w:cs="Arial" w:eastAsia="Arial" w:hAnsi="Arial"/>
                <w:sz w:val="14"/>
                <w:szCs w:val="14"/>
                <w:color w:val="auto"/>
                <w:w w:val="97"/>
              </w:rPr>
              <w:t>Probability</w:t>
            </w:r>
          </w:p>
        </w:tc>
        <w:tc>
          <w:tcPr>
            <w:tcW w:w="4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5"/>
          </w:tcPr>
          <w:p>
            <w:pPr>
              <w:jc w:val="center"/>
              <w:ind w:right="820"/>
              <w:spacing w:after="0" w:line="154" w:lineRule="exact"/>
              <w:rPr>
                <w:sz w:val="20"/>
                <w:szCs w:val="20"/>
                <w:color w:val="auto"/>
              </w:rPr>
            </w:pPr>
            <w:r>
              <w:rPr>
                <w:rFonts w:ascii="Arial" w:cs="Arial" w:eastAsia="Arial" w:hAnsi="Arial"/>
                <w:sz w:val="14"/>
                <w:szCs w:val="14"/>
                <w:color w:val="auto"/>
                <w:w w:val="95"/>
              </w:rPr>
              <w:t>Exit Event</w:t>
            </w:r>
          </w:p>
        </w:tc>
        <w:tc>
          <w:tcPr>
            <w:tcW w:w="1660" w:type="dxa"/>
            <w:vAlign w:val="bottom"/>
            <w:gridSpan w:val="5"/>
          </w:tcPr>
          <w:p>
            <w:pPr>
              <w:jc w:val="center"/>
              <w:ind w:right="880"/>
              <w:spacing w:after="0" w:line="154" w:lineRule="exact"/>
              <w:rPr>
                <w:sz w:val="20"/>
                <w:szCs w:val="20"/>
                <w:color w:val="auto"/>
              </w:rPr>
            </w:pPr>
            <w:r>
              <w:rPr>
                <w:rFonts w:ascii="Arial" w:cs="Arial" w:eastAsia="Arial" w:hAnsi="Arial"/>
                <w:sz w:val="14"/>
                <w:szCs w:val="14"/>
                <w:color w:val="auto"/>
                <w:w w:val="95"/>
              </w:rPr>
              <w:t>of IPO</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31/12/2019</w:t>
            </w:r>
          </w:p>
        </w:tc>
        <w:tc>
          <w:tcPr>
            <w:tcW w:w="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1.1—3.0 years</w:t>
            </w: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8"/>
              </w:rPr>
              <w:t>55.0%—75.0%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30/6/2020</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gridSpan w:val="6"/>
          </w:tcPr>
          <w:p>
            <w:pPr>
              <w:ind w:left="180"/>
              <w:spacing w:after="0"/>
              <w:rPr>
                <w:sz w:val="20"/>
                <w:szCs w:val="20"/>
                <w:color w:val="auto"/>
              </w:rPr>
            </w:pPr>
            <w:r>
              <w:rPr>
                <w:rFonts w:ascii="Arial" w:cs="Arial" w:eastAsia="Arial" w:hAnsi="Arial"/>
                <w:sz w:val="18"/>
                <w:szCs w:val="18"/>
                <w:color w:val="auto"/>
              </w:rPr>
              <w:t>1.1—2.75 years</w:t>
            </w:r>
          </w:p>
        </w:tc>
        <w:tc>
          <w:tcPr>
            <w:tcW w:w="1200" w:type="dxa"/>
            <w:vAlign w:val="bottom"/>
            <w:gridSpan w:val="3"/>
          </w:tcPr>
          <w:p>
            <w:pPr>
              <w:spacing w:after="0"/>
              <w:rPr>
                <w:sz w:val="20"/>
                <w:szCs w:val="20"/>
                <w:color w:val="auto"/>
              </w:rPr>
            </w:pPr>
            <w:r>
              <w:rPr>
                <w:rFonts w:ascii="Arial" w:cs="Arial" w:eastAsia="Arial" w:hAnsi="Arial"/>
                <w:sz w:val="18"/>
                <w:szCs w:val="18"/>
                <w:color w:val="auto"/>
                <w:w w:val="98"/>
              </w:rPr>
              <w:t>55.0%—75.0%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000" w:type="dxa"/>
            <w:vAlign w:val="bottom"/>
            <w:gridSpan w:val="2"/>
            <w:vMerge w:val="restart"/>
          </w:tcPr>
          <w:p>
            <w:pPr>
              <w:jc w:val="right"/>
              <w:spacing w:after="0"/>
              <w:rPr>
                <w:sz w:val="20"/>
                <w:szCs w:val="20"/>
                <w:color w:val="auto"/>
              </w:rPr>
            </w:pPr>
            <w:r>
              <w:rPr>
                <w:rFonts w:ascii="Arial" w:cs="Arial" w:eastAsia="Arial" w:hAnsi="Arial"/>
                <w:sz w:val="14"/>
                <w:szCs w:val="14"/>
                <w:color w:val="auto"/>
                <w:w w:val="93"/>
              </w:rPr>
              <w:t>OPM (Long-term Exit Scenario) Measurement Date</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color w:val="auto"/>
                <w:w w:val="90"/>
              </w:rPr>
              <w:t>Range of Values</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Expiration Date</w:t>
            </w:r>
          </w:p>
        </w:tc>
        <w:tc>
          <w:tcPr>
            <w:tcW w:w="420" w:type="dxa"/>
            <w:vAlign w:val="bottom"/>
          </w:tcPr>
          <w:p>
            <w:pPr>
              <w:spacing w:after="0"/>
              <w:rPr>
                <w:sz w:val="12"/>
                <w:szCs w:val="12"/>
                <w:color w:val="auto"/>
              </w:rPr>
            </w:pPr>
          </w:p>
        </w:tc>
        <w:tc>
          <w:tcPr>
            <w:tcW w:w="1240" w:type="dxa"/>
            <w:vAlign w:val="bottom"/>
            <w:gridSpan w:val="4"/>
          </w:tcPr>
          <w:p>
            <w:pPr>
              <w:jc w:val="center"/>
              <w:ind w:right="180"/>
              <w:spacing w:after="0" w:line="129" w:lineRule="exact"/>
              <w:rPr>
                <w:sz w:val="20"/>
                <w:szCs w:val="20"/>
                <w:color w:val="auto"/>
              </w:rPr>
            </w:pPr>
            <w:r>
              <w:rPr>
                <w:rFonts w:ascii="Arial" w:cs="Arial" w:eastAsia="Arial" w:hAnsi="Arial"/>
                <w:sz w:val="14"/>
                <w:szCs w:val="14"/>
                <w:color w:val="auto"/>
              </w:rPr>
              <w:t>Volatility</w:t>
            </w:r>
          </w:p>
        </w:tc>
        <w:tc>
          <w:tcPr>
            <w:tcW w:w="340" w:type="dxa"/>
            <w:vAlign w:val="bottom"/>
          </w:tcPr>
          <w:p>
            <w:pPr>
              <w:spacing w:after="0"/>
              <w:rPr>
                <w:sz w:val="12"/>
                <w:szCs w:val="12"/>
                <w:color w:val="auto"/>
              </w:rPr>
            </w:pPr>
          </w:p>
        </w:tc>
        <w:tc>
          <w:tcPr>
            <w:tcW w:w="108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Risk Free Rate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31/12/2019</w:t>
            </w:r>
          </w:p>
        </w:tc>
        <w:tc>
          <w:tcPr>
            <w:tcW w:w="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w w:val="89"/>
              </w:rPr>
              <w:t>1.13—3 years</w:t>
            </w:r>
          </w:p>
        </w:tc>
        <w:tc>
          <w:tcPr>
            <w:tcW w:w="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w w:val="78"/>
              </w:rPr>
              <w:t>56.0%—80.0%</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w w:val="78"/>
              </w:rPr>
              <w:t>1.59%—1.62%</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30/6/2020</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9"/>
              </w:rPr>
              <w:t>1.48—3 years</w:t>
            </w:r>
          </w:p>
        </w:tc>
        <w:tc>
          <w:tcPr>
            <w:tcW w:w="420" w:type="dxa"/>
            <w:vAlign w:val="bottom"/>
          </w:tcPr>
          <w:p>
            <w:pPr>
              <w:spacing w:after="0"/>
              <w:rPr>
                <w:sz w:val="20"/>
                <w:szCs w:val="20"/>
                <w:color w:val="auto"/>
              </w:rPr>
            </w:pPr>
          </w:p>
        </w:tc>
        <w:tc>
          <w:tcPr>
            <w:tcW w:w="1240" w:type="dxa"/>
            <w:vAlign w:val="bottom"/>
            <w:gridSpan w:val="4"/>
          </w:tcPr>
          <w:p>
            <w:pPr>
              <w:ind w:left="120"/>
              <w:spacing w:after="0"/>
              <w:rPr>
                <w:sz w:val="20"/>
                <w:szCs w:val="20"/>
                <w:color w:val="auto"/>
              </w:rPr>
            </w:pPr>
            <w:r>
              <w:rPr>
                <w:rFonts w:ascii="Arial" w:cs="Arial" w:eastAsia="Arial" w:hAnsi="Arial"/>
                <w:sz w:val="18"/>
                <w:szCs w:val="18"/>
                <w:color w:val="auto"/>
                <w:w w:val="91"/>
              </w:rPr>
              <w:t>66.0%—75.0%</w:t>
            </w:r>
          </w:p>
        </w:tc>
        <w:tc>
          <w:tcPr>
            <w:tcW w:w="340" w:type="dxa"/>
            <w:vAlign w:val="bottom"/>
          </w:tcPr>
          <w:p>
            <w:pPr>
              <w:spacing w:after="0"/>
              <w:rPr>
                <w:sz w:val="20"/>
                <w:szCs w:val="20"/>
                <w:color w:val="auto"/>
              </w:rPr>
            </w:pPr>
          </w:p>
        </w:tc>
        <w:tc>
          <w:tcPr>
            <w:tcW w:w="1320" w:type="dxa"/>
            <w:vAlign w:val="bottom"/>
            <w:gridSpan w:val="4"/>
          </w:tcPr>
          <w:p>
            <w:pPr>
              <w:ind w:left="120"/>
              <w:spacing w:after="0"/>
              <w:rPr>
                <w:sz w:val="20"/>
                <w:szCs w:val="20"/>
                <w:color w:val="auto"/>
              </w:rPr>
            </w:pPr>
            <w:r>
              <w:rPr>
                <w:rFonts w:ascii="Arial" w:cs="Arial" w:eastAsia="Arial" w:hAnsi="Arial"/>
                <w:sz w:val="18"/>
                <w:szCs w:val="18"/>
                <w:color w:val="auto"/>
                <w:w w:val="98"/>
              </w:rPr>
              <w:t>0.16%—0.18%</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3"/>
          </w:tcPr>
          <w:p>
            <w:pPr>
              <w:ind w:left="1380"/>
              <w:spacing w:after="0"/>
              <w:rPr>
                <w:sz w:val="20"/>
                <w:szCs w:val="20"/>
                <w:color w:val="auto"/>
              </w:rPr>
            </w:pPr>
            <w:r>
              <w:rPr>
                <w:rFonts w:ascii="Arial" w:cs="Arial" w:eastAsia="Arial" w:hAnsi="Arial"/>
                <w:sz w:val="18"/>
                <w:szCs w:val="18"/>
                <w:color w:val="auto"/>
              </w:rPr>
              <w:t>F-101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following summarizes the sensitivity from the assumptions made by the Company in respect to the unobservable inputs used in the fair value measurement of the Group’s investments held at fair value (Please refer to Note 5):</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20" w:type="dxa"/>
            <w:vAlign w:val="bottom"/>
            <w:gridSpan w:val="4"/>
          </w:tcPr>
          <w:p>
            <w:pPr>
              <w:jc w:val="right"/>
              <w:ind w:right="960"/>
              <w:spacing w:after="0"/>
              <w:rPr>
                <w:sz w:val="20"/>
                <w:szCs w:val="20"/>
                <w:color w:val="auto"/>
              </w:rPr>
            </w:pPr>
            <w:r>
              <w:rPr>
                <w:rFonts w:ascii="Arial" w:cs="Arial" w:eastAsia="Arial" w:hAnsi="Arial"/>
                <w:sz w:val="14"/>
                <w:szCs w:val="14"/>
                <w:color w:val="auto"/>
              </w:rPr>
              <w:t>Investments Held at Fair Value</w:t>
            </w:r>
          </w:p>
        </w:tc>
        <w:tc>
          <w:tcPr>
            <w:tcW w:w="0" w:type="dxa"/>
            <w:vAlign w:val="bottom"/>
          </w:tcPr>
          <w:p>
            <w:pPr>
              <w:spacing w:after="0"/>
              <w:rPr>
                <w:sz w:val="1"/>
                <w:szCs w:val="1"/>
                <w:color w:val="auto"/>
              </w:rPr>
            </w:pPr>
          </w:p>
        </w:tc>
      </w:tr>
      <w:tr>
        <w:trPr>
          <w:trHeight w:val="123"/>
        </w:trPr>
        <w:tc>
          <w:tcPr>
            <w:tcW w:w="3880" w:type="dxa"/>
            <w:vAlign w:val="bottom"/>
            <w:gridSpan w:val="3"/>
            <w:vMerge w:val="restart"/>
          </w:tcPr>
          <w:p>
            <w:pPr>
              <w:spacing w:after="0"/>
              <w:rPr>
                <w:sz w:val="20"/>
                <w:szCs w:val="20"/>
                <w:color w:val="auto"/>
              </w:rPr>
            </w:pPr>
            <w:r>
              <w:rPr>
                <w:rFonts w:ascii="Arial" w:cs="Arial" w:eastAsia="Arial" w:hAnsi="Arial"/>
                <w:sz w:val="14"/>
                <w:szCs w:val="14"/>
                <w:color w:val="auto"/>
              </w:rPr>
              <w:t>Input</w:t>
            </w:r>
          </w:p>
        </w:tc>
        <w:tc>
          <w:tcPr>
            <w:tcW w:w="8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Financial Asset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88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2080" w:type="dxa"/>
            <w:vAlign w:val="bottom"/>
            <w:gridSpan w:val="2"/>
          </w:tcPr>
          <w:p>
            <w:pPr>
              <w:jc w:val="right"/>
              <w:ind w:right="1020"/>
              <w:spacing w:after="0" w:line="154" w:lineRule="exact"/>
              <w:rPr>
                <w:sz w:val="20"/>
                <w:szCs w:val="20"/>
                <w:color w:val="auto"/>
              </w:rPr>
            </w:pPr>
            <w:r>
              <w:rPr>
                <w:rFonts w:ascii="Arial" w:cs="Arial" w:eastAsia="Arial" w:hAnsi="Arial"/>
                <w:sz w:val="14"/>
                <w:szCs w:val="14"/>
                <w:color w:val="auto"/>
                <w:w w:val="96"/>
              </w:rPr>
              <w:t>Sensitivity Range</w:t>
            </w:r>
          </w:p>
        </w:tc>
        <w:tc>
          <w:tcPr>
            <w:tcW w:w="15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22"/>
        </w:trPr>
        <w:tc>
          <w:tcPr>
            <w:tcW w:w="30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w w:val="79"/>
              </w:rPr>
              <w:t>As of</w:t>
            </w:r>
          </w:p>
        </w:tc>
        <w:tc>
          <w:tcPr>
            <w:tcW w:w="3580" w:type="dxa"/>
            <w:vAlign w:val="bottom"/>
            <w:gridSpan w:val="2"/>
          </w:tcPr>
          <w:p>
            <w:pPr>
              <w:ind w:left="60"/>
              <w:spacing w:after="0" w:line="122" w:lineRule="exact"/>
              <w:rPr>
                <w:sz w:val="20"/>
                <w:szCs w:val="20"/>
                <w:color w:val="auto"/>
              </w:rPr>
            </w:pPr>
            <w:r>
              <w:rPr>
                <w:rFonts w:ascii="Arial" w:cs="Arial" w:eastAsia="Arial" w:hAnsi="Arial"/>
                <w:sz w:val="14"/>
                <w:szCs w:val="14"/>
                <w:b w:val="1"/>
                <w:bCs w:val="1"/>
                <w:color w:val="auto"/>
              </w:rPr>
              <w:t>June 30, 2020</w:t>
            </w:r>
          </w:p>
        </w:tc>
        <w:tc>
          <w:tcPr>
            <w:tcW w:w="8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2"/>
              </w:rPr>
              <w:t>$000s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2940" w:type="dxa"/>
            <w:vAlign w:val="bottom"/>
            <w:gridSpan w:val="3"/>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(12,948)</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13,433</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Volatility</w:t>
            </w:r>
          </w:p>
        </w:tc>
        <w:tc>
          <w:tcPr>
            <w:tcW w:w="86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80" w:type="dxa"/>
            <w:vAlign w:val="bottom"/>
            <w:gridSpan w:val="2"/>
          </w:tcPr>
          <w:p>
            <w:pPr>
              <w:jc w:val="right"/>
              <w:ind w:right="840"/>
              <w:spacing w:after="0" w:line="205" w:lineRule="exact"/>
              <w:rPr>
                <w:sz w:val="20"/>
                <w:szCs w:val="20"/>
                <w:color w:val="auto"/>
              </w:rPr>
            </w:pPr>
            <w:r>
              <w:rPr>
                <w:rFonts w:ascii="Arial" w:cs="Arial" w:eastAsia="Arial" w:hAnsi="Arial"/>
                <w:sz w:val="18"/>
                <w:szCs w:val="18"/>
                <w:color w:val="auto"/>
              </w:rPr>
              <w:t>-10%</w:t>
            </w:r>
          </w:p>
        </w:tc>
        <w:tc>
          <w:tcPr>
            <w:tcW w:w="14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(952)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40" w:type="dxa"/>
            <w:vAlign w:val="bottom"/>
            <w:gridSpan w:val="3"/>
          </w:tcPr>
          <w:p>
            <w:pPr>
              <w:jc w:val="right"/>
              <w:ind w:right="84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40" w:type="dxa"/>
            <w:vAlign w:val="bottom"/>
            <w:gridSpan w:val="3"/>
          </w:tcPr>
          <w:p>
            <w:pPr>
              <w:jc w:val="right"/>
              <w:ind w:right="840"/>
              <w:spacing w:after="0"/>
              <w:rPr>
                <w:sz w:val="20"/>
                <w:szCs w:val="20"/>
                <w:color w:val="auto"/>
              </w:rPr>
            </w:pPr>
            <w:r>
              <w:rPr>
                <w:rFonts w:ascii="Arial" w:cs="Arial" w:eastAsia="Arial" w:hAnsi="Arial"/>
                <w:sz w:val="18"/>
                <w:szCs w:val="18"/>
                <w:color w:val="auto"/>
              </w:rPr>
              <w:t>-25%</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(2,570)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25%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to Liquidity</w:t>
            </w: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Months</w:t>
            </w:r>
          </w:p>
        </w:tc>
        <w:tc>
          <w:tcPr>
            <w:tcW w:w="9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17,570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Months</w:t>
            </w:r>
          </w:p>
        </w:tc>
        <w:tc>
          <w:tcPr>
            <w:tcW w:w="9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(14,918)</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Risk-free Rate¹</w:t>
            </w:r>
          </w:p>
        </w:tc>
        <w:tc>
          <w:tcPr>
            <w:tcW w:w="86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80" w:type="dxa"/>
            <w:vAlign w:val="bottom"/>
            <w:gridSpan w:val="2"/>
          </w:tcPr>
          <w:p>
            <w:pPr>
              <w:jc w:val="right"/>
              <w:ind w:right="840"/>
              <w:spacing w:after="0" w:line="205" w:lineRule="exact"/>
              <w:rPr>
                <w:sz w:val="20"/>
                <w:szCs w:val="20"/>
                <w:color w:val="auto"/>
              </w:rPr>
            </w:pPr>
            <w:r>
              <w:rPr>
                <w:rFonts w:ascii="Arial" w:cs="Arial" w:eastAsia="Arial" w:hAnsi="Arial"/>
                <w:sz w:val="18"/>
                <w:szCs w:val="18"/>
                <w:color w:val="auto"/>
              </w:rPr>
              <w:t>-0.01%/-0.00%</w:t>
            </w:r>
          </w:p>
        </w:tc>
        <w:tc>
          <w:tcPr>
            <w:tcW w:w="14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17,570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w w:val="95"/>
              </w:rPr>
              <w:t>+0.00%/+0.01%</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4"/>
        </w:numPr>
        <w:rPr>
          <w:rFonts w:ascii="Arial" w:cs="Arial" w:eastAsia="Arial" w:hAnsi="Arial"/>
          <w:sz w:val="15"/>
          <w:szCs w:val="15"/>
          <w:color w:val="auto"/>
        </w:rPr>
      </w:pPr>
      <w:r>
        <w:rPr>
          <w:rFonts w:ascii="Arial" w:cs="Arial" w:eastAsia="Arial" w:hAnsi="Arial"/>
          <w:sz w:val="18"/>
          <w:szCs w:val="18"/>
          <w:color w:val="auto"/>
        </w:rPr>
        <w:t>Risk-free rate is a function of the time to liquidity input assumption.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warrants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Warrants issued by subsidiaries within the Group are classified as liabilities, as they will be settled in a variable number of shares and are not fixed-for-fixed. The following table summarizes the changes in the Group’s subsidiary warrant liabilities measured at fair value using significant unobservable inputs (Level 3):</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Subsidiary Warrant Liability</w:t>
            </w: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$000s</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fair value</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7,130</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$7.1 million and $8.0 million subsidiary warrant liability at June 30, 2020 and December 31, 2019, respectively, is attributable to the outstanding Follica preferred share warrants.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weighted average assumptions were utilized by the Company with respect to determining the fair value of the Follica warrants at June 30,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Assumption/Input</w:t>
            </w:r>
          </w:p>
        </w:tc>
        <w:tc>
          <w:tcPr>
            <w:tcW w:w="2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Series A-1 Warrants</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term</w:t>
            </w:r>
          </w:p>
        </w:tc>
        <w:tc>
          <w:tcPr>
            <w:tcW w:w="29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Estimated fair value of the convertible preferred shares</w:t>
            </w:r>
          </w:p>
        </w:tc>
        <w:tc>
          <w:tcPr>
            <w:tcW w:w="346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Exercise price of the warrants</w:t>
            </w:r>
          </w:p>
        </w:tc>
        <w:tc>
          <w:tcPr>
            <w:tcW w:w="346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r>
      <w:tr>
        <w:trPr>
          <w:trHeight w:val="350"/>
        </w:trPr>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F-102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following summarizes the sensitivity from the assumptions made by the Company in respect to the unobservable inputs used in the fair value measurement of the Group’s warrant liabilities as of June 30,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19"/>
        </w:trPr>
        <w:tc>
          <w:tcPr>
            <w:tcW w:w="4320" w:type="dxa"/>
            <w:vAlign w:val="bottom"/>
            <w:gridSpan w:val="3"/>
            <w:vMerge w:val="restart"/>
          </w:tcPr>
          <w:p>
            <w:pPr>
              <w:spacing w:after="0"/>
              <w:rPr>
                <w:sz w:val="20"/>
                <w:szCs w:val="20"/>
                <w:color w:val="auto"/>
              </w:rPr>
            </w:pPr>
            <w:r>
              <w:rPr>
                <w:rFonts w:ascii="Arial" w:cs="Arial" w:eastAsia="Arial" w:hAnsi="Arial"/>
                <w:sz w:val="14"/>
                <w:szCs w:val="14"/>
                <w:color w:val="auto"/>
              </w:rPr>
              <w:t>Input</w:t>
            </w:r>
          </w:p>
        </w:tc>
        <w:tc>
          <w:tcPr>
            <w:tcW w:w="9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5"/>
              </w:rPr>
              <w:t>Sensitivity</w:t>
            </w:r>
          </w:p>
        </w:tc>
        <w:tc>
          <w:tcPr>
            <w:tcW w:w="9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Financial Liability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2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Range</w:t>
            </w:r>
          </w:p>
        </w:tc>
        <w:tc>
          <w:tcPr>
            <w:tcW w:w="900" w:type="dxa"/>
            <w:vAlign w:val="bottom"/>
          </w:tcPr>
          <w:p>
            <w:pPr>
              <w:spacing w:after="0"/>
              <w:rPr>
                <w:sz w:val="15"/>
                <w:szCs w:val="15"/>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4"/>
                <w:szCs w:val="14"/>
                <w:b w:val="1"/>
                <w:bCs w:val="1"/>
                <w:color w:val="auto"/>
                <w:w w:val="79"/>
              </w:rPr>
              <w:t>As of</w:t>
            </w:r>
          </w:p>
        </w:tc>
        <w:tc>
          <w:tcPr>
            <w:tcW w:w="860" w:type="dxa"/>
            <w:vAlign w:val="bottom"/>
            <w:tcBorders>
              <w:bottom w:val="single" w:sz="8" w:color="auto"/>
            </w:tcBorders>
          </w:tcPr>
          <w:p>
            <w:pPr>
              <w:ind w:left="60"/>
              <w:spacing w:after="0" w:line="122" w:lineRule="exact"/>
              <w:rPr>
                <w:sz w:val="20"/>
                <w:szCs w:val="20"/>
                <w:color w:val="auto"/>
              </w:rPr>
            </w:pPr>
            <w:r>
              <w:rPr>
                <w:rFonts w:ascii="Arial" w:cs="Arial" w:eastAsia="Arial" w:hAnsi="Arial"/>
                <w:sz w:val="14"/>
                <w:szCs w:val="14"/>
                <w:b w:val="1"/>
                <w:bCs w:val="1"/>
                <w:color w:val="auto"/>
                <w:w w:val="89"/>
              </w:rPr>
              <w:t>30 June 2020</w:t>
            </w:r>
          </w:p>
        </w:tc>
        <w:tc>
          <w:tcPr>
            <w:tcW w:w="3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2"/>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840" w:type="dxa"/>
            <w:vAlign w:val="bottom"/>
            <w:tcBorders>
              <w:top w:val="single" w:sz="8" w:color="CCEEFF"/>
            </w:tcBorders>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w:t>
            </w:r>
          </w:p>
        </w:tc>
        <w:tc>
          <w:tcPr>
            <w:tcW w:w="9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 and Classification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financial instruments by category at June 30, 2020 and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83"/>
              </w:rPr>
              <w:t>2020</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Financial</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Financial</w:t>
            </w:r>
          </w:p>
        </w:tc>
        <w:tc>
          <w:tcPr>
            <w:tcW w:w="16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Level 2</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Level 3</w:t>
            </w:r>
          </w:p>
        </w:tc>
        <w:tc>
          <w:tcPr>
            <w:tcW w:w="1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9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$000s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$000s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$000s</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Money Markets</w:t>
            </w:r>
            <w:r>
              <w:rPr>
                <w:rFonts w:ascii="Arial" w:cs="Arial" w:eastAsia="Arial" w:hAnsi="Arial"/>
                <w:sz w:val="15"/>
                <w:szCs w:val="15"/>
                <w:color w:val="auto"/>
              </w:rPr>
              <w:t>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302,020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302,020</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302,020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at fair value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709,456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528,504</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180,951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709,456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and other receivables²</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1,013,675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830,524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180,951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1,013,675</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Subsidiary warrant liability</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7,130</w:t>
            </w:r>
          </w:p>
        </w:tc>
        <w:tc>
          <w:tcPr>
            <w:tcW w:w="92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Subsidiary preferred shares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111,238</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111,238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111,238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Subsidiary notes payable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c>
          <w:tcPr>
            <w:tcW w:w="92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119,824</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1,455</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118,369</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5"/>
        </w:numPr>
        <w:rPr>
          <w:rFonts w:ascii="Arial" w:cs="Arial" w:eastAsia="Arial" w:hAnsi="Arial"/>
          <w:sz w:val="15"/>
          <w:szCs w:val="15"/>
          <w:color w:val="auto"/>
        </w:rPr>
      </w:pPr>
      <w:r>
        <w:rPr>
          <w:rFonts w:ascii="Arial" w:cs="Arial" w:eastAsia="Arial" w:hAnsi="Arial"/>
          <w:sz w:val="18"/>
          <w:szCs w:val="18"/>
          <w:color w:val="auto"/>
        </w:rPr>
        <w:t>Issued by a diverse group of corporations, largely consisting of financial institutions, virtually all of which are investment grade.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35"/>
        </w:numPr>
        <w:rPr>
          <w:rFonts w:ascii="Arial" w:cs="Arial" w:eastAsia="Arial" w:hAnsi="Arial"/>
          <w:sz w:val="15"/>
          <w:szCs w:val="15"/>
          <w:color w:val="auto"/>
        </w:rPr>
      </w:pPr>
      <w:r>
        <w:rPr>
          <w:rFonts w:ascii="Arial" w:cs="Arial" w:eastAsia="Arial" w:hAnsi="Arial"/>
          <w:sz w:val="18"/>
          <w:szCs w:val="18"/>
          <w:color w:val="auto"/>
        </w:rPr>
        <w:t>Outstanding receivables are owed primarily by corporations and government agencies, virtually all of which are investment grade.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60" w:type="dxa"/>
            <w:vAlign w:val="bottom"/>
            <w:tcBorders>
              <w:bottom w:val="single" w:sz="8" w:color="auto"/>
            </w:tcBorders>
            <w:gridSpan w:val="3"/>
          </w:tcPr>
          <w:p>
            <w:pPr>
              <w:jc w:val="right"/>
              <w:ind w:right="255"/>
              <w:spacing w:after="0" w:line="142" w:lineRule="exact"/>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Financial</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Financial</w:t>
            </w:r>
          </w:p>
        </w:tc>
        <w:tc>
          <w:tcPr>
            <w:tcW w:w="16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Level 2</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Level 3</w:t>
            </w:r>
          </w:p>
        </w:tc>
        <w:tc>
          <w:tcPr>
            <w:tcW w:w="1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9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$000s</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$000s</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$000s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$000s</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9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treasuries</w:t>
            </w:r>
            <w:r>
              <w:rPr>
                <w:rFonts w:ascii="Arial" w:cs="Arial" w:eastAsia="Arial" w:hAnsi="Arial"/>
                <w:sz w:val="15"/>
                <w:szCs w:val="15"/>
                <w:color w:val="auto"/>
              </w:rPr>
              <w:t>1</w:t>
            </w:r>
          </w:p>
        </w:tc>
        <w:tc>
          <w:tcPr>
            <w:tcW w:w="2960" w:type="dxa"/>
            <w:vAlign w:val="bottom"/>
            <w:gridSpan w:val="3"/>
          </w:tcPr>
          <w:p>
            <w:pPr>
              <w:jc w:val="right"/>
              <w:ind w:right="180"/>
              <w:spacing w:after="0"/>
              <w:rPr>
                <w:sz w:val="20"/>
                <w:szCs w:val="20"/>
                <w:color w:val="auto"/>
              </w:rPr>
            </w:pPr>
            <w:r>
              <w:rPr>
                <w:rFonts w:ascii="Arial" w:cs="Arial" w:eastAsia="Arial" w:hAnsi="Arial"/>
                <w:sz w:val="18"/>
                <w:szCs w:val="18"/>
                <w:color w:val="auto"/>
              </w:rPr>
              <w:t>30,088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30,088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30,088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r>
              <w:rPr>
                <w:rFonts w:ascii="Arial" w:cs="Arial" w:eastAsia="Arial" w:hAnsi="Arial"/>
                <w:sz w:val="15"/>
                <w:szCs w:val="15"/>
                <w:color w:val="auto"/>
              </w:rPr>
              <w:t>2</w:t>
            </w:r>
          </w:p>
        </w:tc>
        <w:tc>
          <w:tcPr>
            <w:tcW w:w="2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106,586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106,586</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106,586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Investments held at fair value</w:t>
            </w:r>
          </w:p>
        </w:tc>
        <w:tc>
          <w:tcPr>
            <w:tcW w:w="2960" w:type="dxa"/>
            <w:vAlign w:val="bottom"/>
            <w:gridSpan w:val="3"/>
          </w:tcPr>
          <w:p>
            <w:pPr>
              <w:jc w:val="right"/>
              <w:ind w:right="180"/>
              <w:spacing w:after="0"/>
              <w:rPr>
                <w:sz w:val="20"/>
                <w:szCs w:val="20"/>
                <w:color w:val="auto"/>
              </w:rPr>
            </w:pPr>
            <w:r>
              <w:rPr>
                <w:rFonts w:ascii="Arial" w:cs="Arial" w:eastAsia="Arial" w:hAnsi="Arial"/>
                <w:sz w:val="18"/>
                <w:szCs w:val="18"/>
                <w:color w:val="auto"/>
              </w:rPr>
              <w:t>714,905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560,460</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154,445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714,905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receivables²</w:t>
            </w:r>
          </w:p>
        </w:tc>
        <w:tc>
          <w:tcPr>
            <w:tcW w:w="2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1,977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19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853,556</w:t>
            </w:r>
          </w:p>
        </w:tc>
        <w:tc>
          <w:tcPr>
            <w:tcW w:w="1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697,134</w:t>
            </w: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154,445</w:t>
            </w: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853,556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Subsidiary warrant liability</w:t>
            </w:r>
          </w:p>
        </w:tc>
        <w:tc>
          <w:tcPr>
            <w:tcW w:w="19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7,997</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Subsidiary preferred shares</w:t>
            </w:r>
          </w:p>
        </w:tc>
        <w:tc>
          <w:tcPr>
            <w:tcW w:w="1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100,989</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100,989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100,989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Subsidiary notes payable</w:t>
            </w:r>
          </w:p>
        </w:tc>
        <w:tc>
          <w:tcPr>
            <w:tcW w:w="1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110,441</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108,986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110,441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700" w:type="dxa"/>
            <w:vAlign w:val="bottom"/>
          </w:tcPr>
          <w:p>
            <w:pPr>
              <w:spacing w:after="0"/>
              <w:rPr>
                <w:sz w:val="24"/>
                <w:szCs w:val="24"/>
                <w:color w:val="auto"/>
              </w:rPr>
            </w:pPr>
          </w:p>
        </w:tc>
        <w:tc>
          <w:tcPr>
            <w:tcW w:w="2960" w:type="dxa"/>
            <w:vAlign w:val="bottom"/>
            <w:gridSpan w:val="3"/>
          </w:tcPr>
          <w:p>
            <w:pPr>
              <w:jc w:val="right"/>
              <w:ind w:right="940"/>
              <w:spacing w:after="0"/>
              <w:rPr>
                <w:sz w:val="20"/>
                <w:szCs w:val="20"/>
                <w:color w:val="auto"/>
              </w:rPr>
            </w:pPr>
            <w:r>
              <w:rPr>
                <w:rFonts w:ascii="Arial" w:cs="Arial" w:eastAsia="Arial" w:hAnsi="Arial"/>
                <w:sz w:val="18"/>
                <w:szCs w:val="18"/>
                <w:color w:val="auto"/>
              </w:rPr>
              <w:t>F-103</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36"/>
        </w:numPr>
        <w:rPr>
          <w:rFonts w:ascii="Arial" w:cs="Arial" w:eastAsia="Arial" w:hAnsi="Arial"/>
          <w:sz w:val="15"/>
          <w:szCs w:val="15"/>
          <w:color w:val="auto"/>
        </w:rPr>
      </w:pPr>
      <w:r>
        <w:rPr>
          <w:rFonts w:ascii="Arial" w:cs="Arial" w:eastAsia="Arial" w:hAnsi="Arial"/>
          <w:sz w:val="18"/>
          <w:szCs w:val="18"/>
          <w:color w:val="auto"/>
        </w:rPr>
        <w:t>Issued by governments and government agencies, as applicable, all of which are investment grade.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36"/>
        </w:numPr>
        <w:rPr>
          <w:rFonts w:ascii="Arial" w:cs="Arial" w:eastAsia="Arial" w:hAnsi="Arial"/>
          <w:sz w:val="15"/>
          <w:szCs w:val="15"/>
          <w:color w:val="auto"/>
        </w:rPr>
      </w:pPr>
      <w:r>
        <w:rPr>
          <w:rFonts w:ascii="Arial" w:cs="Arial" w:eastAsia="Arial" w:hAnsi="Arial"/>
          <w:sz w:val="18"/>
          <w:szCs w:val="18"/>
          <w:color w:val="auto"/>
        </w:rPr>
        <w:t>Issued by a diverse group of corporations, largely consisting of financial institutions, virtually all of which are investment grade.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36"/>
        </w:numPr>
        <w:rPr>
          <w:rFonts w:ascii="Arial" w:cs="Arial" w:eastAsia="Arial" w:hAnsi="Arial"/>
          <w:sz w:val="15"/>
          <w:szCs w:val="15"/>
          <w:color w:val="auto"/>
        </w:rPr>
      </w:pPr>
      <w:r>
        <w:rPr>
          <w:rFonts w:ascii="Arial" w:cs="Arial" w:eastAsia="Arial" w:hAnsi="Arial"/>
          <w:sz w:val="18"/>
          <w:szCs w:val="18"/>
          <w:color w:val="auto"/>
        </w:rPr>
        <w:t>Outstanding receivables are owed primarily by corporations and government agencies, virtually all of which are investment grade.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Subsidiary Notes Payable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subsidiary notes payable are comprised of loans made to, and convertible notes issued by, subsidiaries in the Group. As of June 30, 2020 and December 31, 2019, the financial instruments for Knode and Appeering did not contain embedded derivatives and therefore these instruments continue to be held at amortized cost. The notes payable consist of the following:</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color w:val="auto"/>
                <w:w w:val="93"/>
              </w:rPr>
              <w:t>As of</w:t>
            </w:r>
          </w:p>
        </w:tc>
        <w:tc>
          <w:tcPr>
            <w:tcW w:w="5120" w:type="dxa"/>
            <w:vAlign w:val="bottom"/>
            <w:vMerge w:val="restart"/>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June 30, 2020</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December 31, 2019</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176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87"/>
              </w:rPr>
              <w:t>$000s</w:t>
            </w:r>
          </w:p>
        </w:tc>
        <w:tc>
          <w:tcPr>
            <w:tcW w:w="11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Loans</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1,330</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9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subsidiary notes payable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w:t>
            </w:r>
          </w:p>
        </w:tc>
        <w:tc>
          <w:tcPr>
            <w:tcW w:w="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October 2010, Follica entered into a loan and security agreement with Lighthouse Capital Partners VI, L.P. The loan is secured by Follica’s assets, including Follica’s intellectual property and bears interest at a rate of 12%. The outstanding loan balance totaled approximately $1.3 million as of each of June 30, 2020 and December 31,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Certain of the Group’s subsidiaries have issued convertible promissory notes (“Notes”) to fund their operations with an expectation of an eventual share-based award settlement of the Notes.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During the six months ended June 30, 2019, the Notes were assessed under IFRS 9 and the entire financial instruments were elected to be accounted for as FVTPL.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Notes outstanding were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Knode</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Appeering</w:t>
            </w:r>
          </w:p>
        </w:tc>
        <w:tc>
          <w:tcPr>
            <w:tcW w:w="5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Total</w:t>
            </w:r>
          </w:p>
        </w:tc>
      </w:tr>
      <w:tr>
        <w:trPr>
          <w:trHeight w:val="167"/>
        </w:trPr>
        <w:tc>
          <w:tcPr>
            <w:tcW w:w="4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000s</w:t>
            </w:r>
          </w:p>
        </w:tc>
        <w:tc>
          <w:tcPr>
            <w:tcW w:w="56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color w:val="auto"/>
              </w:rPr>
              <w:t>$000s</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000s</w:t>
            </w: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2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As of June 30, 2020</w:t>
            </w:r>
          </w:p>
        </w:tc>
        <w:tc>
          <w:tcPr>
            <w:tcW w:w="24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5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Non-Controlling Interest</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summarizes the changes in the equity classified non-controlling ownership interest in subsidiaries by reportable segment during the six months ended June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Controlled</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Parent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Company</w:t>
            </w:r>
          </w:p>
        </w:tc>
        <w:tc>
          <w:tcPr>
            <w:tcW w:w="7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Founded Entities</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&amp; Other</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$000s</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$000s</w:t>
            </w:r>
          </w:p>
        </w:tc>
        <w:tc>
          <w:tcPr>
            <w:tcW w:w="74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Non-controlling interest as of December 31, 2019</w:t>
            </w:r>
          </w:p>
        </w:tc>
        <w:tc>
          <w:tcPr>
            <w:tcW w:w="3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(18,233)</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593</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(17,639)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 of comprehensive loss</w:t>
            </w:r>
          </w:p>
        </w:tc>
        <w:tc>
          <w:tcPr>
            <w:tcW w:w="4720" w:type="dxa"/>
            <w:vAlign w:val="bottom"/>
            <w:gridSpan w:val="3"/>
          </w:tcPr>
          <w:p>
            <w:pPr>
              <w:jc w:val="right"/>
              <w:ind w:right="460"/>
              <w:spacing w:after="0"/>
              <w:rPr>
                <w:sz w:val="20"/>
                <w:szCs w:val="20"/>
                <w:color w:val="auto"/>
              </w:rPr>
            </w:pPr>
            <w:r>
              <w:rPr>
                <w:rFonts w:ascii="Arial" w:cs="Arial" w:eastAsia="Arial" w:hAnsi="Arial"/>
                <w:sz w:val="18"/>
                <w:szCs w:val="18"/>
                <w:color w:val="auto"/>
              </w:rPr>
              <w:t>(249)</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4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Exercise of share-based awards</w:t>
            </w:r>
          </w:p>
        </w:tc>
        <w:tc>
          <w:tcPr>
            <w:tcW w:w="472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w:t>
            </w:r>
          </w:p>
        </w:tc>
        <w:tc>
          <w:tcPr>
            <w:tcW w:w="4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1,005</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Non-controlling interest as of June 30, 2020</w:t>
            </w:r>
          </w:p>
        </w:tc>
        <w:tc>
          <w:tcPr>
            <w:tcW w:w="3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(17,481)</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593</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(16,887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371"/>
        </w:trPr>
        <w:tc>
          <w:tcPr>
            <w:tcW w:w="4500" w:type="dxa"/>
            <w:vAlign w:val="bottom"/>
          </w:tcPr>
          <w:p>
            <w:pPr>
              <w:spacing w:after="0"/>
              <w:rPr>
                <w:sz w:val="24"/>
                <w:szCs w:val="24"/>
                <w:color w:val="auto"/>
              </w:rPr>
            </w:pPr>
          </w:p>
        </w:tc>
        <w:tc>
          <w:tcPr>
            <w:tcW w:w="4720" w:type="dxa"/>
            <w:vAlign w:val="bottom"/>
            <w:gridSpan w:val="3"/>
          </w:tcPr>
          <w:p>
            <w:pPr>
              <w:jc w:val="right"/>
              <w:ind w:right="3500"/>
              <w:spacing w:after="0"/>
              <w:rPr>
                <w:sz w:val="20"/>
                <w:szCs w:val="20"/>
                <w:color w:val="auto"/>
              </w:rPr>
            </w:pPr>
            <w:r>
              <w:rPr>
                <w:rFonts w:ascii="Arial" w:cs="Arial" w:eastAsia="Arial" w:hAnsi="Arial"/>
                <w:sz w:val="18"/>
                <w:szCs w:val="18"/>
                <w:color w:val="auto"/>
              </w:rPr>
              <w:t>F-104</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activity related to the Group’s right of use asset and lease liability for the six months ended June 30, 2020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Right of use asset, net</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$000s</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Depreciation</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(1,227)</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2020</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21,570</w:t>
            </w:r>
          </w:p>
        </w:tc>
        <w:tc>
          <w:tcPr>
            <w:tcW w:w="10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Total lease liability</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$000s</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paid for rent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(2,456)</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37,001</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details the short term and long-term portion of the lease liability for the six months ended June 30, 2020:</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Total lease liability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Portion of Lease Liability</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Portion of Lease Liability</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sublease agreement with Gelesis was determined to be a finance lease. The rent period term began June 1, 2019 and expires on August 31, 2025. As of June 30, 2020 the balances related to the sublease, classified as a finance lease, were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Total lease receivable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Portion of Lease Receivable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Long-term Portion of Lease Receivable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Receivable</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 sublease with Dewpoint Therapeutics was determined to be an operating lease. The rent period term began September 1, 2019 and expires August 31, 2021. Sublease income from operating lease recognized by the Company during the six months ended June 30, 2020 was $0.5 million.</w:t>
      </w:r>
    </w:p>
    <w:p>
      <w:pPr>
        <w:spacing w:after="0" w:line="228" w:lineRule="exact"/>
        <w:rPr>
          <w:sz w:val="20"/>
          <w:szCs w:val="20"/>
          <w:color w:val="auto"/>
        </w:rPr>
      </w:pPr>
    </w:p>
    <w:p>
      <w:pPr>
        <w:ind w:left="120" w:right="8500" w:hanging="4"/>
        <w:spacing w:after="0" w:line="425" w:lineRule="auto"/>
        <w:tabs>
          <w:tab w:leader="none" w:pos="390"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 Transactions Related Party Sublease</w:t>
      </w:r>
    </w:p>
    <w:p>
      <w:pPr>
        <w:jc w:val="center"/>
        <w:ind w:right="300"/>
        <w:spacing w:after="0" w:line="449" w:lineRule="auto"/>
        <w:rPr>
          <w:sz w:val="20"/>
          <w:szCs w:val="20"/>
          <w:color w:val="auto"/>
        </w:rPr>
      </w:pPr>
      <w:r>
        <w:rPr>
          <w:rFonts w:ascii="Arial" w:cs="Arial" w:eastAsia="Arial" w:hAnsi="Arial"/>
          <w:sz w:val="18"/>
          <w:szCs w:val="18"/>
          <w:color w:val="auto"/>
        </w:rPr>
        <w:t>During 2019, PureTech executed a sublease agreement with related party Gelesis. Please refer to Note 16 for further details regarding the sublease. F-105</w:t>
      </w:r>
    </w:p>
    <w:p>
      <w:pPr>
        <w:sectPr>
          <w:pgSz w:w="11900" w:h="16838" w:orient="portrait"/>
          <w:cols w:equalWidth="0" w:num="1">
            <w:col w:w="11100"/>
          </w:cols>
          <w:pgMar w:left="320" w:top="459" w:right="47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12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Key management includes executive directors and members of the executive management team of the Group. The key management personnel compensation of the Group was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r>
      <w:tr>
        <w:trPr>
          <w:trHeight w:val="171"/>
        </w:trPr>
        <w:tc>
          <w:tcPr>
            <w:tcW w:w="684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$000s</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$000s</w:t>
            </w: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short-term employee benefits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Share-based payments</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2,222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1,586</w:t>
            </w:r>
          </w:p>
        </w:tc>
      </w:tr>
      <w:tr>
        <w:trPr>
          <w:trHeight w:val="27"/>
        </w:trPr>
        <w:tc>
          <w:tcPr>
            <w:tcW w:w="6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3,488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3,035</w:t>
            </w:r>
          </w:p>
        </w:tc>
      </w:tr>
      <w:tr>
        <w:trPr>
          <w:trHeight w:val="20"/>
        </w:trPr>
        <w:tc>
          <w:tcPr>
            <w:tcW w:w="6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Wages and employee benefits include salaries, health care and other non-cash benefits. Share-based payments are generally subject to vesting terms over future periods.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 Issued to Directors</w:t>
      </w:r>
    </w:p>
    <w:p>
      <w:pPr>
        <w:spacing w:after="0" w:line="121"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Certain members of the Group have invested in convertible notes issued by the Group’s subsidiaries. As of June 30, 2020 and December 31, 2019, the outstanding related party notes payable totaled approximately $0.1 million in each period, including principal and interest.</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notes issued to related parties bear interest rates, maturity dates, discounts and other contractual terms that are the same as those issued to outside investors during the same issuances, as described in Note 14.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Senior Managers’ Shareholdings and Share Incentive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Directors and senior managers hold beneficial interests in shares in the following businesses and sourcing companies as at June 30, 2020:</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Number of</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Number of</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7"/>
              </w:rPr>
              <w:t>shares held as</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options held as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color w:val="auto"/>
                <w:w w:val="92"/>
              </w:rPr>
              <w:t>Directors</w:t>
            </w:r>
          </w:p>
        </w:tc>
        <w:tc>
          <w:tcPr>
            <w:tcW w:w="33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3700" w:type="dxa"/>
            <w:vAlign w:val="bottom"/>
            <w:vMerge w:val="restart"/>
          </w:tcPr>
          <w:p>
            <w:pPr>
              <w:ind w:left="1000"/>
              <w:spacing w:after="0"/>
              <w:rPr>
                <w:sz w:val="20"/>
                <w:szCs w:val="20"/>
                <w:color w:val="auto"/>
              </w:rPr>
            </w:pPr>
            <w:r>
              <w:rPr>
                <w:rFonts w:ascii="Arial" w:cs="Arial" w:eastAsia="Arial" w:hAnsi="Arial"/>
                <w:sz w:val="14"/>
                <w:szCs w:val="14"/>
                <w:color w:val="auto"/>
              </w:rPr>
              <w:t>Business Name (Share Class)</w:t>
            </w: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of June 30,</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of June 30,</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Ownership</w:t>
            </w:r>
          </w:p>
        </w:tc>
        <w:tc>
          <w:tcPr>
            <w:tcW w:w="0" w:type="dxa"/>
            <w:vAlign w:val="bottom"/>
          </w:tcPr>
          <w:p>
            <w:pPr>
              <w:spacing w:after="0"/>
              <w:rPr>
                <w:sz w:val="1"/>
                <w:szCs w:val="1"/>
                <w:color w:val="auto"/>
              </w:rPr>
            </w:pPr>
          </w:p>
        </w:tc>
      </w:tr>
      <w:tr>
        <w:trPr>
          <w:trHeight w:val="159"/>
        </w:trPr>
        <w:tc>
          <w:tcPr>
            <w:tcW w:w="540" w:type="dxa"/>
            <w:vAlign w:val="bottom"/>
            <w:tcBorders>
              <w:bottom w:val="single" w:sz="8" w:color="auto"/>
            </w:tcBorders>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020" w:type="dxa"/>
            <w:vAlign w:val="bottom"/>
            <w:gridSpan w:val="2"/>
          </w:tcPr>
          <w:p>
            <w:pPr>
              <w:jc w:val="right"/>
              <w:ind w:right="178"/>
              <w:spacing w:after="0" w:line="154" w:lineRule="exact"/>
              <w:rPr>
                <w:sz w:val="20"/>
                <w:szCs w:val="20"/>
                <w:color w:val="auto"/>
              </w:rPr>
            </w:pPr>
            <w:r>
              <w:rPr>
                <w:rFonts w:ascii="Arial" w:cs="Arial" w:eastAsia="Arial" w:hAnsi="Arial"/>
                <w:sz w:val="14"/>
                <w:szCs w:val="14"/>
                <w:color w:val="auto"/>
              </w:rPr>
              <w:t>2020</w:t>
            </w:r>
          </w:p>
        </w:tc>
        <w:tc>
          <w:tcPr>
            <w:tcW w:w="260" w:type="dxa"/>
            <w:vAlign w:val="bottom"/>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6"/>
              </w:rPr>
              <w:t>2020</w:t>
            </w:r>
          </w:p>
        </w:tc>
        <w:tc>
          <w:tcPr>
            <w:tcW w:w="260" w:type="dxa"/>
            <w:vAlign w:val="bottom"/>
          </w:tcPr>
          <w:p>
            <w:pPr>
              <w:spacing w:after="0"/>
              <w:rPr>
                <w:sz w:val="13"/>
                <w:szCs w:val="13"/>
                <w:color w:val="auto"/>
              </w:rPr>
            </w:pPr>
          </w:p>
        </w:tc>
        <w:tc>
          <w:tcPr>
            <w:tcW w:w="8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Interest¹</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Ms Daphne Zohar²</w:t>
            </w:r>
          </w:p>
        </w:tc>
        <w:tc>
          <w:tcPr>
            <w:tcW w:w="200" w:type="dxa"/>
            <w:vAlign w:val="bottom"/>
            <w:vMerge w:val="restart"/>
            <w:shd w:val="clear" w:color="auto" w:fill="CCEEFF"/>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Gelesis (Common)</w:t>
            </w:r>
          </w:p>
        </w:tc>
        <w:tc>
          <w:tcPr>
            <w:tcW w:w="20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59,443</w:t>
            </w:r>
          </w:p>
        </w:tc>
        <w:tc>
          <w:tcPr>
            <w:tcW w:w="2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939,086</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Dame Marjorie Scardino</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Bennett Shapiro³</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Akili (Series A-2 Preferred)</w:t>
            </w:r>
            <w:r>
              <w:rPr>
                <w:rFonts w:ascii="Arial" w:cs="Arial" w:eastAsia="Arial" w:hAnsi="Arial"/>
                <w:sz w:val="15"/>
                <w:szCs w:val="15"/>
                <w:color w:val="auto"/>
              </w:rPr>
              <w:t>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33,088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Gelesis (Common)</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24,009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Gelesis (Series A-1 Preferred)</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23,418</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Vedanta Biosciences (Common)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Vedanta Biosciences (Series B Preferred)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11,202</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Dr Robert Langer</w:t>
            </w:r>
          </w:p>
        </w:tc>
        <w:tc>
          <w:tcPr>
            <w:tcW w:w="20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Entrega (Common)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332,500</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Alivio (Common)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1,575,000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Raju Kucherlapati</w:t>
            </w:r>
          </w:p>
        </w:tc>
        <w:tc>
          <w:tcPr>
            <w:tcW w:w="3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Enlight (Class B Common)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Dr John LaMattina</w:t>
            </w:r>
            <w:r>
              <w:rPr>
                <w:rFonts w:ascii="Arial" w:cs="Arial" w:eastAsia="Arial" w:hAnsi="Arial"/>
                <w:sz w:val="15"/>
                <w:szCs w:val="15"/>
                <w:color w:val="auto"/>
              </w:rPr>
              <w:t>5</w:t>
            </w:r>
          </w:p>
        </w:tc>
        <w:tc>
          <w:tcPr>
            <w:tcW w:w="3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Akili (Series A-2 Preferred)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37,372</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5</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54,119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63,050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Gelesis (Series A-1 Preferred)</w:t>
            </w:r>
            <w:r>
              <w:rPr>
                <w:rFonts w:ascii="Arial" w:cs="Arial" w:eastAsia="Arial" w:hAnsi="Arial"/>
                <w:sz w:val="15"/>
                <w:szCs w:val="15"/>
                <w:color w:val="auto"/>
              </w:rPr>
              <w:t>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49,524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Vedanta Biosciences (Common)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Christopher Viehbacher</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Mr Stephen Muniz</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Gelesis (Common)</w:t>
            </w: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Managers:</w:t>
            </w:r>
          </w:p>
        </w:tc>
        <w:tc>
          <w:tcPr>
            <w:tcW w:w="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Dr Eric Elenko</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Joep Muijrers</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Dr Bharatt Chowrira</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Karuna (Common)</w:t>
            </w:r>
            <w:r>
              <w:rPr>
                <w:rFonts w:ascii="Arial" w:cs="Arial" w:eastAsia="Arial" w:hAnsi="Arial"/>
                <w:sz w:val="15"/>
                <w:szCs w:val="15"/>
                <w:color w:val="auto"/>
              </w:rPr>
              <w:t>6</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Joseph Bolen</w:t>
            </w: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Vor (Common)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Pr>
          <w:p>
            <w:pPr>
              <w:ind w:left="1200"/>
              <w:spacing w:after="0"/>
              <w:rPr>
                <w:sz w:val="20"/>
                <w:szCs w:val="20"/>
                <w:color w:val="auto"/>
              </w:rPr>
            </w:pPr>
            <w:r>
              <w:rPr>
                <w:rFonts w:ascii="Arial" w:cs="Arial" w:eastAsia="Arial" w:hAnsi="Arial"/>
                <w:sz w:val="18"/>
                <w:szCs w:val="18"/>
                <w:color w:val="auto"/>
              </w:rPr>
              <w:t>F-106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55" w:lineRule="auto"/>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Ownership interests as of June 30, 2020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spacing w:after="0" w:line="2" w:lineRule="exact"/>
        <w:rPr>
          <w:rFonts w:ascii="Arial" w:cs="Arial" w:eastAsia="Arial" w:hAnsi="Arial"/>
          <w:sz w:val="15"/>
          <w:szCs w:val="15"/>
          <w:color w:val="auto"/>
        </w:rPr>
      </w:pPr>
    </w:p>
    <w:p>
      <w:pPr>
        <w:ind w:left="540" w:right="420" w:hanging="424"/>
        <w:spacing w:after="0" w:line="250" w:lineRule="auto"/>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Common shares and options held by Yishai Zohar, who is the husband of Ms. Zohar. Ms. Zohar does not have any direct interest in the share capital of Gelesis. Ms Zohar recuses herself from any and all material decisions with regard to Gelesis.</w:t>
      </w:r>
    </w:p>
    <w:p>
      <w:pPr>
        <w:ind w:left="540" w:hanging="424"/>
        <w:spacing w:after="0"/>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Dr. Shapiro retired from PureTech’s board of directors on June 11, 2020.</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Shares held through Dr Bennett Shapiro and Ms Fredericka F. Shapiro, Joint Tenants with Right of Survivorship.</w:t>
      </w:r>
    </w:p>
    <w:p>
      <w:pPr>
        <w:spacing w:after="0" w:line="9" w:lineRule="exact"/>
        <w:rPr>
          <w:rFonts w:ascii="Arial" w:cs="Arial" w:eastAsia="Arial" w:hAnsi="Arial"/>
          <w:sz w:val="15"/>
          <w:szCs w:val="15"/>
          <w:color w:val="auto"/>
        </w:rPr>
      </w:pPr>
    </w:p>
    <w:p>
      <w:pPr>
        <w:ind w:left="540" w:right="100" w:hanging="424"/>
        <w:spacing w:after="0" w:line="250" w:lineRule="auto"/>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Dr John and Ms Mary LaMattina hold 50,540 shares of common shares and 49,523 shares of Series A-1 preferred shares in Gelesis. Individually, Dr LaMattina holds 3,579 shares and 63,050 options of Gelesis and convertible notes issued by Appeering in the aggregate principal amount of $50,000.</w:t>
      </w:r>
    </w:p>
    <w:p>
      <w:pPr>
        <w:spacing w:after="0" w:line="1" w:lineRule="exact"/>
        <w:rPr>
          <w:rFonts w:ascii="Arial" w:cs="Arial" w:eastAsia="Arial" w:hAnsi="Arial"/>
          <w:sz w:val="15"/>
          <w:szCs w:val="15"/>
          <w:color w:val="auto"/>
        </w:rPr>
      </w:pPr>
    </w:p>
    <w:p>
      <w:pPr>
        <w:ind w:left="540" w:right="480" w:hanging="424"/>
        <w:spacing w:after="0" w:line="260" w:lineRule="auto"/>
        <w:tabs>
          <w:tab w:leader="none" w:pos="540" w:val="left"/>
        </w:tabs>
        <w:numPr>
          <w:ilvl w:val="0"/>
          <w:numId w:val="238"/>
        </w:numPr>
        <w:rPr>
          <w:rFonts w:ascii="Arial" w:cs="Arial" w:eastAsia="Arial" w:hAnsi="Arial"/>
          <w:sz w:val="15"/>
          <w:szCs w:val="15"/>
          <w:color w:val="auto"/>
        </w:rPr>
      </w:pPr>
      <w:r>
        <w:rPr>
          <w:rFonts w:ascii="Arial" w:cs="Arial" w:eastAsia="Arial" w:hAnsi="Arial"/>
          <w:sz w:val="18"/>
          <w:szCs w:val="18"/>
          <w:color w:val="auto"/>
        </w:rPr>
        <w:t>Options to purchase the listed shares were granted in connection with the service on such founded entity’s Board of Directors and any value realized therefrom shall be assigned to PureTech Health LLC.</w:t>
      </w:r>
    </w:p>
    <w:p>
      <w:pPr>
        <w:spacing w:after="0" w:line="18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Directors and senior managers hold 27,315,840 ordinary shares and 9.6 per cent voting rights of the Company as of June 30, 2020. This amount excludes options to purchase 2,909,344 ordinary shares. This amount also excludes 4,636,347 shares, which are issuable contingent to the terms set for the performance based RSU awards. Such shares will be issued to such senior managers in future periods provided that performance conditions are met and certain of the shares will be withheld for payment of customary withholding taxes.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Taxation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Tax benefit/(expense) is recognized based on management’s best estimate of the weighted-average annual income tax rate expected for the full financial year multiplied by the pre-tax income of the interim reporting period.</w:t>
      </w:r>
    </w:p>
    <w:p>
      <w:pPr>
        <w:spacing w:after="0" w:line="170"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During the six months ended June 30, 2020 and 2019, the Group recorded a consolidated tax provision of $50.8 million and $25.1 million, respectively, which represented effective tax rates in continuing operations of 29.1% and 44.4%, respectively. The effective tax rate in the current period is primarily driven by the Company’s earnings in the U.S. federal and state jurisdiction in which it operates and is impacted by an increase in unrecorded deferred tax assets in respect of carry-forward losses in the Company’s subsidiaries (as it is not probable that they will be realized). The change in the tax rate period over period results from a lower increase in the 2020 interim period as compared to the 2019 interim period in the aforementioned unrecorded deferred tax assets due to deconsolidations and changes in ownership that occurred in 2019 and therefore impacted the 2020 consolidated tax expenses.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has evaluated subsequent events after June 30, 2020, the date of issuance of the Condensed Consolidated Financial Statements, and has not identified any recordable or disclosable events not otherwise reported in these Condensed Consolidated Financial Statements or notes thereto, except for the following:</w:t>
      </w:r>
    </w:p>
    <w:p>
      <w:pPr>
        <w:spacing w:after="0" w:line="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On July 10, 2020, pursuant to its collaboration agreement with JSR Corporation, Vedanta issued 107,389 Series C-2 Preferred shares for $2.5 million in aggregate proceeds.</w:t>
      </w:r>
    </w:p>
    <w:p>
      <w:pPr>
        <w:spacing w:after="0" w:line="185"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On August 26, 2020, PureTech sold 1,333,333 common shares of Karuna for aggregate proceeds of $101.6 million. Immediately subsequent to the disposal, PureTech continued to hold 3,406,564 common shares or 12.8 percent of total outstanding shares of Karuna.</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00"/>
          </w:cols>
          <w:pgMar w:left="320" w:top="459" w:right="47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September 2, 2020, Vedanta entered into a $15.0 million loan and security agreement with Oxford Finance LLC. The loan is secured by Vedanta’s assets, including equipment, inventory and intellectual property. The loan bears a floating interest rate of 7.73% plus the greater of (i) 30 day U.S. Dollar LIBOR reported in the Wall Street Journal or (ii) 0.17%. The loan matures September 2025 and requires interest only payments for the initial 24 months. For loan consideration, Vedanta also issued Oxford Finance LLC 12,886 Series C-2 preferred share warrants with an exercise price of $23.28 per share, expiring September 2030.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following unaudited pro forma consolidated financial information for the year ended December 31, 2019 and related notes present the historical consolidated financial statements of PureTech Health plc (“PureTech,” the “Parent,” “Group,” or the “Company”) and the deconsolidation of PureTech’s former consolidated subsidiaries Gelesis, Inc. (“Gelesis”), Vor Biopharma Inc. (“Vor”) and Karuna Therapeutics, Inc. (“Karuna”) as if the completion of all the aforementioned deconsolidations had occurred on January 1, 2019 and as if PureTech had lost its significant influence in Karuna as of January 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Vor</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On February 12, 2019, Vor completed a Series A-2 Preferred Stock financing in which PureTech and several new third-party investors participated. As a result of the issuance of the preferred shares to third-party investors, PureTech’s ownership percentage and corresponding voting rights dropped from</w:t>
      </w:r>
    </w:p>
    <w:p>
      <w:pPr>
        <w:ind w:left="120" w:right="140"/>
        <w:spacing w:after="0" w:line="253" w:lineRule="auto"/>
        <w:rPr>
          <w:sz w:val="20"/>
          <w:szCs w:val="20"/>
          <w:color w:val="auto"/>
        </w:rPr>
      </w:pPr>
      <w:r>
        <w:rPr>
          <w:rFonts w:ascii="Arial" w:cs="Arial" w:eastAsia="Arial" w:hAnsi="Arial"/>
          <w:sz w:val="18"/>
          <w:szCs w:val="18"/>
          <w:color w:val="auto"/>
        </w:rPr>
        <w:t>79.5 percent to 47.5 percent, and PureTech simultaneously lost control over Vor’s Board of Directors, both of which triggered a loss of control over the entity. As of February 12, 2019, Vor was deconsolidated from the Group’s financial statements. As of such date of deconsolidation, PureTech held preferred shares in Vor and no common shares. The preferred shares held by PureTech fall under the guidance of IFRS 9 and are treated as a financial asset held at fair value. All movements to the value of PureTech’s investment in Vor’s preferred stock are recorded through the Consolidated Statement of Comprehensive Income/(Loss).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Karuna</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March 15, 2019, Karuna completed the closing of a Series B Preferred Stock financing with PureTech and several new third-party investors. As a result of the issuance of the preferred shares to third-party investors, PureTech’s ownership percentage and corresponding voting rights dropped from 70.9 percent to 44.3 percent, and PureTech simultaneously lost control over Karuna’s Board of Directors, both of which triggered a loss of control over the entity. As of March 15, 2019, Karuna was deconsolidated from the Group’s financial statements.</w:t>
      </w:r>
    </w:p>
    <w:p>
      <w:pPr>
        <w:spacing w:after="0" w:line="17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While the Company no longer controlled Karuna pursuant to the deconsolidation, PureTech still had significant influence over Karuna. PureTech’s investment in common shares of Karuna that was subject to equity method accounting, was almost nil ($0 thousand) on January 1, 2019 and remained negligible until the date of conversion of Karuna preferred shares to common shares at the end of June 2019 (See Note 5 to the annual consolidated financial statements included herein).</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preferred shares and warrant held by PureTech fall under the guidance of IFRS 9 and were treated as financial assets held at fair value through profit and loss. All movements to the value of PureTech’s investment in Karuna’s preferred stock and warrant were recorded through the Consolidated Statement of Comprehensive Income/(Loss).</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Subsequent to the conversion of the preferred shares to common shares at the end of June 2019, in light of PureTech’s common share holdings in Karuna and corresponding voting rights, PureTech had re-established a basis to account for its investment in Karuna under IAS 28.</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December 2, 2019 it was concluded that the Company no longer exerted significant influence over Karuna. As a result, Karuna was no longer deemed an Associate and did not fall under the scope of equity method accounting, resulting in the investment being accounted for as an investment held at fair value under IFRS 9. As of December 2, 2019 the Company’s interest in Karuna was 28.4 percent. For the period of June 28, 2019 through December 2, 2019, PureTech’s investment in Karuna was subject to equity method accounting. In accordance with IAS 28, the Company’s investment was adjusted by the share of losses generated by Karuna (weighted average of 31.4 percent based on common stock ownership interest), which resulted in a net loss of $6.3 million.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120"/>
          </w:cols>
          <w:pgMar w:left="320" w:top="459" w:right="45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Gelesis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July 1, 2019, the Gelesis Board of Directors was restructured, resulting in two of the three PureTech representatives on the board resigning. As a result of this restructuring, PureTech lost control over Gelesis’s Board of Directors, which triggered a loss of control over the entity. As of July 1, 2019, Gelesis was deconsolidated from the Group’s financial statements.</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Upon the date of deconsolidation, PureTech held shares of preferred stock and common stock of Gelesis and a warrant issued by Gelesis to PureTech. While the Company no longer controls Gelesis, it was concluded that PureTech still has significant influence over Gelesis and therefore the investment in Gelesis is accounted for as an associate under IAS 28.</w:t>
      </w:r>
    </w:p>
    <w:p>
      <w:pPr>
        <w:spacing w:after="0" w:line="184"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PureTech’s investment in common shares of Gelesis is subject to equity method accounting. The preferred shares and warrant held by PureTech fall under the guidance of IFRS 9 and are treated as financial assets held at fair value and all movements to the value of PureTech’s investment in the preferred stock are recorded through the Consolidated Statement of Comprehensive Income/(Loss) in accordance with IFRS 9.</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020"/>
          </w:cols>
          <w:pgMar w:left="320" w:top="459" w:right="5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 Statement of Comprehensive Income/(Loss)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year ended December 31, 2019</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Deconsolidation</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Additional</w:t>
            </w:r>
          </w:p>
        </w:tc>
        <w:tc>
          <w:tcPr>
            <w:tcW w:w="9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PureTech</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PureTech</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Pro Forma</w:t>
            </w:r>
          </w:p>
        </w:tc>
        <w:tc>
          <w:tcPr>
            <w:tcW w:w="8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Pro Forma</w:t>
            </w:r>
          </w:p>
        </w:tc>
        <w:tc>
          <w:tcPr>
            <w:tcW w:w="9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$000s</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$000s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$000s</w:t>
            </w:r>
          </w:p>
        </w:tc>
        <w:tc>
          <w:tcPr>
            <w:tcW w:w="9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Contract revenue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8,688</w:t>
            </w:r>
          </w:p>
        </w:tc>
        <w:tc>
          <w:tcPr>
            <w:tcW w:w="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color w:val="auto"/>
              </w:rPr>
              <w:t>Grant revenue</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1,119</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1,119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b w:val="1"/>
                <w:bCs w:val="1"/>
                <w:color w:val="auto"/>
              </w:rPr>
              <w:t>9,807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9,807</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color w:val="auto"/>
              </w:rPr>
              <w:t>Operating expenses:</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(59,358)</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10,181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(49,177)</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Research and development expenses</w:t>
            </w:r>
          </w:p>
        </w:tc>
        <w:tc>
          <w:tcPr>
            <w:tcW w:w="1240" w:type="dxa"/>
            <w:vAlign w:val="bottom"/>
            <w:gridSpan w:val="2"/>
          </w:tcPr>
          <w:p>
            <w:pPr>
              <w:jc w:val="right"/>
              <w:ind w:right="520"/>
              <w:spacing w:after="0"/>
              <w:rPr>
                <w:sz w:val="20"/>
                <w:szCs w:val="20"/>
                <w:color w:val="auto"/>
              </w:rPr>
            </w:pPr>
            <w:r>
              <w:rPr>
                <w:rFonts w:ascii="Arial" w:cs="Arial" w:eastAsia="Arial" w:hAnsi="Arial"/>
                <w:sz w:val="17"/>
                <w:szCs w:val="17"/>
                <w:color w:val="auto"/>
              </w:rPr>
              <w:t>(85,848)</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15,555</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(70,293)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Operating income/(loss)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w w:val="96"/>
              </w:rPr>
              <w:t>(135,399)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25,736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(109,663)</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color w:val="auto"/>
              </w:rPr>
              <w:t>Other income/(expense):</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 on deconsolidation</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264,409</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 xml:space="preserve">(264,409) </w:t>
            </w:r>
            <w:r>
              <w:rPr>
                <w:rFonts w:ascii="Arial" w:cs="Arial" w:eastAsia="Arial" w:hAnsi="Arial"/>
                <w:sz w:val="17"/>
                <w:szCs w:val="17"/>
                <w:b w:val="1"/>
                <w:bCs w:val="1"/>
                <w:color w:val="auto"/>
              </w:rPr>
              <w:t>(b)</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Gain/(loss) on investments held at fair value</w:t>
            </w:r>
          </w:p>
        </w:tc>
        <w:tc>
          <w:tcPr>
            <w:tcW w:w="1240" w:type="dxa"/>
            <w:vAlign w:val="bottom"/>
            <w:gridSpan w:val="2"/>
          </w:tcPr>
          <w:p>
            <w:pPr>
              <w:jc w:val="right"/>
              <w:ind w:right="520"/>
              <w:spacing w:after="0"/>
              <w:rPr>
                <w:sz w:val="20"/>
                <w:szCs w:val="20"/>
                <w:color w:val="auto"/>
              </w:rPr>
            </w:pPr>
            <w:r>
              <w:rPr>
                <w:rFonts w:ascii="Arial" w:cs="Arial" w:eastAsia="Arial" w:hAnsi="Arial"/>
                <w:sz w:val="17"/>
                <w:szCs w:val="17"/>
                <w:color w:val="auto"/>
              </w:rPr>
              <w:t>(37,863)</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445,113</w:t>
            </w:r>
          </w:p>
        </w:tc>
        <w:tc>
          <w:tcPr>
            <w:tcW w:w="980" w:type="dxa"/>
            <w:vAlign w:val="bottom"/>
          </w:tcPr>
          <w:p>
            <w:pPr>
              <w:ind w:left="2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7"/>
                <w:szCs w:val="17"/>
                <w:color w:val="auto"/>
              </w:rPr>
              <w:t>,</w:t>
            </w:r>
            <w:r>
              <w:rPr>
                <w:rFonts w:ascii="Arial" w:cs="Arial" w:eastAsia="Arial" w:hAnsi="Arial"/>
                <w:sz w:val="17"/>
                <w:szCs w:val="17"/>
                <w:b w:val="1"/>
                <w:bCs w:val="1"/>
                <w:color w:val="auto"/>
              </w:rPr>
              <w:t>(e)</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407,250)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on impairment of intangible asset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Gain/(loss) on disposal of assets</w:t>
            </w:r>
          </w:p>
        </w:tc>
        <w:tc>
          <w:tcPr>
            <w:tcW w:w="1240" w:type="dxa"/>
            <w:vAlign w:val="bottom"/>
            <w:gridSpan w:val="2"/>
          </w:tcPr>
          <w:p>
            <w:pPr>
              <w:jc w:val="right"/>
              <w:ind w:right="520"/>
              <w:spacing w:after="0"/>
              <w:rPr>
                <w:sz w:val="20"/>
                <w:szCs w:val="20"/>
                <w:color w:val="auto"/>
              </w:rPr>
            </w:pPr>
            <w:r>
              <w:rPr>
                <w:rFonts w:ascii="Arial" w:cs="Arial" w:eastAsia="Arial" w:hAnsi="Arial"/>
                <w:sz w:val="17"/>
                <w:szCs w:val="17"/>
                <w:color w:val="auto"/>
              </w:rPr>
              <w:t>(82)</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Gain/(loss) on loss of significant influence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445,582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(445,582)</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Other income/(expense)</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121</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Other income/(expense)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b w:val="1"/>
                <w:bCs w:val="1"/>
                <w:color w:val="auto"/>
              </w:rPr>
              <w:t>672,167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(264,878)</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407,289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color w:val="auto"/>
              </w:rPr>
              <w:t>Finance income/(costs):</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income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4,362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4,269</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Finance income/(costs)—subsidiary preferred shares</w:t>
            </w:r>
          </w:p>
        </w:tc>
        <w:tc>
          <w:tcPr>
            <w:tcW w:w="1240" w:type="dxa"/>
            <w:vAlign w:val="bottom"/>
            <w:gridSpan w:val="2"/>
          </w:tcPr>
          <w:p>
            <w:pPr>
              <w:jc w:val="right"/>
              <w:ind w:right="520"/>
              <w:spacing w:after="0"/>
              <w:rPr>
                <w:sz w:val="20"/>
                <w:szCs w:val="20"/>
                <w:color w:val="auto"/>
              </w:rPr>
            </w:pPr>
            <w:r>
              <w:rPr>
                <w:rFonts w:ascii="Arial" w:cs="Arial" w:eastAsia="Arial" w:hAnsi="Arial"/>
                <w:sz w:val="17"/>
                <w:szCs w:val="17"/>
                <w:color w:val="auto"/>
              </w:rPr>
              <w:t>(1,458)</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1,564</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income/(costs)—contractual</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(2,576)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(2,643)</w:t>
            </w: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Finance income/(costs)—fair value accounting</w:t>
            </w:r>
          </w:p>
        </w:tc>
        <w:tc>
          <w:tcPr>
            <w:tcW w:w="1240" w:type="dxa"/>
            <w:vAlign w:val="bottom"/>
            <w:gridSpan w:val="2"/>
          </w:tcPr>
          <w:p>
            <w:pPr>
              <w:jc w:val="right"/>
              <w:ind w:right="520"/>
              <w:spacing w:after="0"/>
              <w:rPr>
                <w:sz w:val="20"/>
                <w:szCs w:val="20"/>
                <w:color w:val="auto"/>
              </w:rPr>
            </w:pPr>
            <w:r>
              <w:rPr>
                <w:rFonts w:ascii="Arial" w:cs="Arial" w:eastAsia="Arial" w:hAnsi="Arial"/>
                <w:sz w:val="17"/>
                <w:szCs w:val="17"/>
                <w:color w:val="auto"/>
              </w:rPr>
              <w:t>(46,475)</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28,737</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(17,738)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Net finance income/(costs)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(46,147)</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30,141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(16,006)</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color w:val="auto"/>
              </w:rPr>
              <w:t>Share of net gain/(loss) of associates accounted for using the equity method</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30,791</w:t>
            </w:r>
          </w:p>
        </w:tc>
        <w:tc>
          <w:tcPr>
            <w:tcW w:w="12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840" w:type="dxa"/>
            <w:vAlign w:val="bottom"/>
            <w:gridSpan w:val="3"/>
          </w:tcPr>
          <w:p>
            <w:pPr>
              <w:ind w:left="260"/>
              <w:spacing w:after="0"/>
              <w:rPr>
                <w:sz w:val="20"/>
                <w:szCs w:val="20"/>
                <w:color w:val="auto"/>
              </w:rPr>
            </w:pPr>
            <w:r>
              <w:rPr>
                <w:rFonts w:ascii="Arial" w:cs="Arial" w:eastAsia="Arial" w:hAnsi="Arial"/>
                <w:sz w:val="17"/>
                <w:szCs w:val="17"/>
                <w:color w:val="auto"/>
              </w:rPr>
              <w:t xml:space="preserve">(21,350) </w:t>
            </w:r>
            <w:r>
              <w:rPr>
                <w:rFonts w:ascii="Arial" w:cs="Arial" w:eastAsia="Arial" w:hAnsi="Arial"/>
                <w:sz w:val="17"/>
                <w:szCs w:val="17"/>
                <w:b w:val="1"/>
                <w:bCs w:val="1"/>
                <w:color w:val="auto"/>
              </w:rPr>
              <w:t>(d)</w:t>
            </w:r>
            <w:r>
              <w:rPr>
                <w:rFonts w:ascii="Arial" w:cs="Arial" w:eastAsia="Arial" w:hAnsi="Arial"/>
                <w:sz w:val="17"/>
                <w:szCs w:val="17"/>
                <w:color w:val="auto"/>
              </w:rPr>
              <w:t>,</w:t>
            </w:r>
            <w:r>
              <w:rPr>
                <w:rFonts w:ascii="Arial" w:cs="Arial" w:eastAsia="Arial" w:hAnsi="Arial"/>
                <w:sz w:val="17"/>
                <w:szCs w:val="17"/>
                <w:b w:val="1"/>
                <w:bCs w:val="1"/>
                <w:color w:val="auto"/>
              </w:rPr>
              <w:t>(e)</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9,441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Impairment of investment in associate</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(42,938)</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31,097</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(11,841)</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b w:val="1"/>
                <w:bCs w:val="1"/>
                <w:color w:val="auto"/>
              </w:rPr>
              <w:t>Income/(loss) before taxes</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478,474</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55,877</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auto"/>
              </w:rPr>
              <w:t>(255,131)</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279,220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Taxation</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(112,409)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27,320</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(84,927)</w:t>
            </w:r>
          </w:p>
        </w:tc>
        <w:tc>
          <w:tcPr>
            <w:tcW w:w="0" w:type="dxa"/>
            <w:vAlign w:val="bottom"/>
          </w:tcPr>
          <w:p>
            <w:pPr>
              <w:spacing w:after="0"/>
              <w:rPr>
                <w:sz w:val="1"/>
                <w:szCs w:val="1"/>
                <w:color w:val="auto"/>
              </w:rPr>
            </w:pPr>
          </w:p>
        </w:tc>
      </w:tr>
      <w:tr>
        <w:trPr>
          <w:trHeight w:val="210"/>
        </w:trPr>
        <w:tc>
          <w:tcPr>
            <w:tcW w:w="5860" w:type="dxa"/>
            <w:vAlign w:val="bottom"/>
          </w:tcPr>
          <w:p>
            <w:pPr>
              <w:ind w:left="680"/>
              <w:spacing w:after="0"/>
              <w:rPr>
                <w:sz w:val="20"/>
                <w:szCs w:val="20"/>
                <w:color w:val="auto"/>
              </w:rPr>
            </w:pPr>
            <w:r>
              <w:rPr>
                <w:rFonts w:ascii="Arial" w:cs="Arial" w:eastAsia="Arial" w:hAnsi="Arial"/>
                <w:sz w:val="17"/>
                <w:szCs w:val="17"/>
                <w:b w:val="1"/>
                <w:bCs w:val="1"/>
                <w:color w:val="auto"/>
              </w:rPr>
              <w:t>Income/(Loss) for the year</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366,065</w:t>
            </w:r>
          </w:p>
        </w:tc>
        <w:tc>
          <w:tcPr>
            <w:tcW w:w="5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56,039</w:t>
            </w:r>
          </w:p>
        </w:tc>
        <w:tc>
          <w:tcPr>
            <w:tcW w:w="3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(227,811)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194,293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income/(loss):</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7"/>
                <w:szCs w:val="17"/>
                <w:i w:val="1"/>
                <w:iCs w:val="1"/>
                <w:color w:val="auto"/>
              </w:rPr>
              <w:t>Items that are or may be reclassified as profit or loss</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differences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7"/>
                <w:szCs w:val="17"/>
                <w:color w:val="auto"/>
              </w:rPr>
              <w:t>Unrealized gain/(loss) on investments held at fair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other comprehensive income/(loss)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5860" w:type="dxa"/>
            <w:vAlign w:val="bottom"/>
          </w:tcPr>
          <w:p>
            <w:pPr>
              <w:ind w:left="680"/>
              <w:spacing w:after="0"/>
              <w:rPr>
                <w:sz w:val="20"/>
                <w:szCs w:val="20"/>
                <w:color w:val="auto"/>
              </w:rPr>
            </w:pPr>
            <w:r>
              <w:rPr>
                <w:rFonts w:ascii="Arial" w:cs="Arial" w:eastAsia="Arial" w:hAnsi="Arial"/>
                <w:sz w:val="17"/>
                <w:szCs w:val="17"/>
                <w:b w:val="1"/>
                <w:bCs w:val="1"/>
                <w:color w:val="auto"/>
              </w:rPr>
              <w:t>Total comprehensive income/(loss) for the year</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366,055</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56,039</w:t>
            </w: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auto"/>
              </w:rPr>
              <w:t>(227,811)</w:t>
            </w:r>
          </w:p>
        </w:tc>
        <w:tc>
          <w:tcPr>
            <w:tcW w:w="9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194,293</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Income/(loss) attributable to:</w:t>
            </w: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Owners of the Company</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421,144</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32,085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(227,811)</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225,418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(55,079)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23,954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(31,125)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366,065</w:t>
            </w:r>
          </w:p>
        </w:tc>
        <w:tc>
          <w:tcPr>
            <w:tcW w:w="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56,039</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(227,811)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income/(loss) attributable to:</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Owners of the Company</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421,134</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32,085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(227,811)</w:t>
            </w: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225,408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(55,079)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23,954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(31,125)</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366,055</w:t>
            </w:r>
          </w:p>
        </w:tc>
        <w:tc>
          <w:tcPr>
            <w:tcW w:w="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56,039</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(227,811)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Earnings/(loss) per share:</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340"/>
              <w:spacing w:after="0"/>
              <w:rPr>
                <w:sz w:val="20"/>
                <w:szCs w:val="20"/>
                <w:color w:val="auto"/>
              </w:rPr>
            </w:pPr>
            <w:r>
              <w:rPr>
                <w:rFonts w:ascii="Arial" w:cs="Arial" w:eastAsia="Arial" w:hAnsi="Arial"/>
                <w:sz w:val="17"/>
                <w:szCs w:val="17"/>
                <w:color w:val="auto"/>
              </w:rPr>
              <w:t>Basic earnings/(loss) per share</w:t>
            </w: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1.49</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earnings/(loss) per share</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1.44</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140"/>
          </w:cols>
          <w:pgMar w:left="320" w:top="459" w:right="4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accompanying unaudited pro forma consolidated financial information should be read in conjunction with the notes hereto along with PureTech’s most recent historical financial information included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The unaudited pro forma financial information was prepared in accordance with Article 11 of Regulation S-X. Accordingly, the Company’s historical consolidated financial statements have been adjusted in the pro forma financial statements to give effect to pro forma events that are (i) directly attributable to the deconsolidations and the loss of significant influence in Karuna, (ii) expected to have a continuing impact on the Group, and</w:t>
      </w:r>
    </w:p>
    <w:p>
      <w:pPr>
        <w:spacing w:after="0" w:line="2" w:lineRule="exact"/>
        <w:rPr>
          <w:sz w:val="20"/>
          <w:szCs w:val="20"/>
          <w:color w:val="auto"/>
        </w:rPr>
      </w:pPr>
    </w:p>
    <w:p>
      <w:pPr>
        <w:ind w:left="120" w:hanging="4"/>
        <w:spacing w:after="0" w:line="273" w:lineRule="auto"/>
        <w:tabs>
          <w:tab w:leader="none" w:pos="43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factually supportable. The unaudited pro forma consolidated financial information is presented for illustrative purposes only and does not purport to represent what the results of operations of PureTech would actually have been had the deconsolidations and the loss of significant influence in Karuna occurred on January 1, 2019, or to project the results of operations of PureTech for any future periods. The unaudited pro forma adjustments are based on available information and certain assumptions that PureTech’s management believes are reasonable.</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unaudited pro forma condensed financial information is based on the assumption that the deconsolidations and the loss of significant influence in Karuna took place as of January 1, 2019 for purposes of the unaudited pro forma Consolidated Statement of Comprehensive Income/(Loss) for the year ended December 31,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Adjustments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Deconsolidation Adjustment</w:t>
      </w:r>
    </w:p>
    <w:p>
      <w:pPr>
        <w:spacing w:after="0" w:line="121" w:lineRule="exact"/>
        <w:rPr>
          <w:sz w:val="20"/>
          <w:szCs w:val="20"/>
          <w:color w:val="auto"/>
        </w:rPr>
      </w:pPr>
    </w:p>
    <w:p>
      <w:pPr>
        <w:ind w:left="560" w:right="340"/>
        <w:spacing w:after="0" w:line="342" w:lineRule="auto"/>
        <w:rPr>
          <w:sz w:val="20"/>
          <w:szCs w:val="20"/>
          <w:color w:val="auto"/>
        </w:rPr>
      </w:pPr>
      <w:r>
        <w:rPr>
          <w:rFonts w:ascii="Arial" w:cs="Arial" w:eastAsia="Arial" w:hAnsi="Arial"/>
          <w:sz w:val="16"/>
          <w:szCs w:val="16"/>
          <w:color w:val="auto"/>
        </w:rPr>
        <w:t>The deconsolidation adjustments removes the historical results of Gelesis, Karuna and Vor included in the Consolidated Statement of Comprehensive Income/(Loss) for the year ended December 31, 2019 to effectuate the deconsolidation of such entities as of January 1, 2019.</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Gain on Deconsolidation</w:t>
      </w:r>
    </w:p>
    <w:p>
      <w:pPr>
        <w:spacing w:after="0" w:line="121"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As of the result of the deconsolidations, the Company recognized a gain upon the deconsolidation of each entity in the Consolidated Statement of Comprehensive Income/(Loss) for the year ended December 31, 2019. The pro forma adjustment removes the gains that the Company recognized upon deconsolidation as they are not expected to have a continuing impact.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Fair Value Adjustments</w:t>
      </w:r>
    </w:p>
    <w:p>
      <w:pPr>
        <w:spacing w:after="0" w:line="121"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As of the date of deconsolidation, the Company held preferred shares in Gelesis, which fall under the guidance of IFRS 9 and are treated as financial assets held at fair value through profit and loss. The pro forma adjustments reflect the incremental amount of gain of $7,487 thousands that would be recorded had the deconsolidation occurred at January 1, 2019.</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080"/>
          </w:cols>
          <w:pgMar w:left="320" w:top="459" w:right="49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Equity Method Accounting – Gelesis</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Upon loss of control of Gelesis, the common shares of Gelesis held by the Company were subject to equity method accounting in accordance with IAS 28. The pro forma adjustments reflect the incremental share of equity method losses that the Company should recognize, as well as the adjustment of the impairment loss on Gelesis equity method investment so that the pro forma investment as of December 31, 2019 would equal its net realizable value at that date, assuming that the deconsolidation of Gelesis occurred, and the investment in Gelesis common stock was accounted for under the equity method, beginning January 1, 2019.</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$000s</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pro forma investment in Gelesis as of January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Add: The Company’s pro forma share of Gelesis net income for the year ended December 31,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 forma Gelesis investment balance as of December 31, 2019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22,483</w:t>
            </w: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The Company’s pro forma share of Gelesis net income for the year ended December 31, 2019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Less: share of net income of Gelesis recorded in the Consolidated Statement of Comprehensive Income/(Loss) for the year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ended December 31, 2019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37,136</w:t>
            </w:r>
          </w:p>
        </w:tc>
      </w:tr>
      <w:tr>
        <w:trPr>
          <w:trHeight w:val="209"/>
        </w:trPr>
        <w:tc>
          <w:tcPr>
            <w:tcW w:w="9300" w:type="dxa"/>
            <w:vAlign w:val="bottom"/>
            <w:gridSpan w:val="2"/>
          </w:tcPr>
          <w:p>
            <w:pPr>
              <w:spacing w:after="0"/>
              <w:rPr>
                <w:sz w:val="20"/>
                <w:szCs w:val="20"/>
                <w:color w:val="auto"/>
              </w:rPr>
            </w:pPr>
            <w:r>
              <w:rPr>
                <w:rFonts w:ascii="Arial" w:cs="Arial" w:eastAsia="Arial" w:hAnsi="Arial"/>
                <w:sz w:val="18"/>
                <w:szCs w:val="18"/>
                <w:color w:val="auto"/>
                <w:w w:val="99"/>
              </w:rPr>
              <w:t>Incremental share of net loss to be included as an adjustment in this Unaudited Pro forma Consolidated Statement of</w:t>
            </w: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Comprehensive Income/(Loss)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(27,695)</w:t>
            </w: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realizable value of investment in Gelesis accounted for under the equity method as of December 31, 2019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10,642</w:t>
            </w: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Pro forma Gelesis investment balance as of December 31,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 forma impairment loss for the year ended December 31, 2019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(11,841)</w:t>
            </w:r>
          </w:p>
        </w:tc>
      </w:tr>
      <w:tr>
        <w:trPr>
          <w:trHeight w:val="202"/>
        </w:trPr>
        <w:tc>
          <w:tcPr>
            <w:tcW w:w="20" w:type="dxa"/>
            <w:vAlign w:val="bottom"/>
          </w:tcPr>
          <w:p>
            <w:pPr>
              <w:spacing w:after="0"/>
              <w:rPr>
                <w:sz w:val="17"/>
                <w:szCs w:val="17"/>
                <w:color w:val="auto"/>
              </w:rPr>
            </w:pPr>
          </w:p>
        </w:tc>
        <w:tc>
          <w:tcPr>
            <w:tcW w:w="9280" w:type="dxa"/>
            <w:vAlign w:val="bottom"/>
          </w:tcPr>
          <w:p>
            <w:pPr>
              <w:spacing w:after="0" w:line="201" w:lineRule="exact"/>
              <w:rPr>
                <w:sz w:val="20"/>
                <w:szCs w:val="20"/>
                <w:color w:val="auto"/>
              </w:rPr>
            </w:pPr>
            <w:r>
              <w:rPr>
                <w:rFonts w:ascii="Arial" w:cs="Arial" w:eastAsia="Arial" w:hAnsi="Arial"/>
                <w:sz w:val="18"/>
                <w:szCs w:val="18"/>
                <w:color w:val="auto"/>
              </w:rPr>
              <w:t>Less: impairment of Gelesis equity method investment recorded in the Consolidated Statement of Comprehensive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Income/(Loss) for the year ended December 31, 2019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(42,938)</w:t>
            </w:r>
          </w:p>
        </w:tc>
      </w:tr>
      <w:tr>
        <w:trPr>
          <w:trHeight w:val="202"/>
        </w:trPr>
        <w:tc>
          <w:tcPr>
            <w:tcW w:w="20" w:type="dxa"/>
            <w:vAlign w:val="bottom"/>
          </w:tcPr>
          <w:p>
            <w:pPr>
              <w:spacing w:after="0"/>
              <w:rPr>
                <w:sz w:val="17"/>
                <w:szCs w:val="17"/>
                <w:color w:val="auto"/>
              </w:rPr>
            </w:pPr>
          </w:p>
        </w:tc>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Reduction of impairment loss to be included as an adjustment in this Unaudited Pro forma Consolidated Statement of</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Income/(Loss)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31,097</w:t>
            </w: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 Karuna</w:t>
      </w:r>
    </w:p>
    <w:p>
      <w:pPr>
        <w:spacing w:after="0" w:line="121"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color w:val="auto"/>
        </w:rPr>
        <w:t>Upon loss of significant influence of Karuna, the common shares of Karuna held by the Company were accounted for under IFRS 9. The pro forma adjustments reflect the accounting treatment assuming that the loss of significant influence of Karuna occurred, the preferred shares in Karuna were converted to common shares, and the investment in Karuna common stock was accounted for under IFRS 9, beginning January 1, 2019.</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92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$000s</w:t>
            </w:r>
          </w:p>
        </w:tc>
      </w:tr>
      <w:tr>
        <w:trPr>
          <w:trHeight w:val="182"/>
        </w:trPr>
        <w:tc>
          <w:tcPr>
            <w:tcW w:w="9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Pro forma gain on investments held at fair value for Karuna common stock investment, for the period from January 1 until</w:t>
            </w: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 2019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478,259</w:t>
            </w:r>
          </w:p>
        </w:tc>
      </w:tr>
      <w:tr>
        <w:trPr>
          <w:trHeight w:val="202"/>
        </w:trPr>
        <w:tc>
          <w:tcPr>
            <w:tcW w:w="9200" w:type="dxa"/>
            <w:vAlign w:val="bottom"/>
          </w:tcPr>
          <w:p>
            <w:pPr>
              <w:spacing w:after="0" w:line="201" w:lineRule="exact"/>
              <w:rPr>
                <w:sz w:val="20"/>
                <w:szCs w:val="20"/>
                <w:color w:val="auto"/>
              </w:rPr>
            </w:pPr>
            <w:r>
              <w:rPr>
                <w:rFonts w:ascii="Arial" w:cs="Arial" w:eastAsia="Arial" w:hAnsi="Arial"/>
                <w:sz w:val="18"/>
                <w:szCs w:val="18"/>
                <w:color w:val="auto"/>
                <w:w w:val="93"/>
              </w:rPr>
              <w:t>Removal of gain on investments held at fair value recorded for Karuna preferred stock investment for the period from March</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200" w:type="dxa"/>
            <w:vAlign w:val="bottom"/>
          </w:tcPr>
          <w:p>
            <w:pPr>
              <w:ind w:left="180"/>
              <w:spacing w:after="0"/>
              <w:rPr>
                <w:sz w:val="20"/>
                <w:szCs w:val="20"/>
                <w:color w:val="auto"/>
              </w:rPr>
            </w:pPr>
            <w:r>
              <w:rPr>
                <w:rFonts w:ascii="Arial" w:cs="Arial" w:eastAsia="Arial" w:hAnsi="Arial"/>
                <w:sz w:val="18"/>
                <w:szCs w:val="18"/>
                <w:color w:val="auto"/>
              </w:rPr>
              <w:t>15 (date of deconsolidation) until June 28, 2019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(40,633)</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change to Gain/(loss) on investments held at fair value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437,626</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Removal of the share of the net loss in Karuna recorded under equity method accounting</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6,345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Removal of gain on loss of significant influence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(445,582)</w:t>
            </w: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 Taxation</w:t>
      </w:r>
    </w:p>
    <w:p>
      <w:pPr>
        <w:spacing w:after="0" w:line="121" w:lineRule="exact"/>
        <w:rPr>
          <w:sz w:val="20"/>
          <w:szCs w:val="20"/>
          <w:color w:val="auto"/>
        </w:rPr>
      </w:pPr>
    </w:p>
    <w:p>
      <w:pPr>
        <w:ind w:left="5420" w:right="1540" w:hanging="4855"/>
        <w:spacing w:after="0" w:line="449" w:lineRule="auto"/>
        <w:rPr>
          <w:sz w:val="20"/>
          <w:szCs w:val="20"/>
          <w:color w:val="auto"/>
        </w:rPr>
      </w:pPr>
      <w:r>
        <w:rPr>
          <w:rFonts w:ascii="Arial" w:cs="Arial" w:eastAsia="Arial" w:hAnsi="Arial"/>
          <w:sz w:val="18"/>
          <w:szCs w:val="18"/>
          <w:color w:val="auto"/>
        </w:rPr>
        <w:t>Tax effect of the pro forma adjustments discussed in the notes above, calculated at the applicable tax rate of each adjustment. F-113</w:t>
      </w:r>
    </w:p>
    <w:p>
      <w:pPr>
        <w:sectPr>
          <w:pgSz w:w="11900" w:h="16838" w:orient="portrait"/>
          <w:cols w:equalWidth="0" w:num="1">
            <w:col w:w="11100"/>
          </w:cols>
          <w:pgMar w:left="320" w:top="459" w:right="47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PURETECH HEALTH PLC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HOLDERS AND BENEFICIAL OWNERS OF</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AMERICAN DEPOSITARY SHARES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 2020</w:t>
      </w:r>
    </w:p>
    <w:p>
      <w:pPr>
        <w:sectPr>
          <w:pgSz w:w="11900" w:h="16838" w:orient="portrait"/>
          <w:cols w:equalWidth="0" w:num="1">
            <w:col w:w="10020"/>
          </w:cols>
          <w:pgMar w:left="1440" w:top="121" w:right="4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8220" w:type="dxa"/>
            <w:vAlign w:val="bottom"/>
          </w:tcPr>
          <w:p>
            <w:pPr>
              <w:ind w:left="3100"/>
              <w:spacing w:after="0"/>
              <w:rPr>
                <w:sz w:val="20"/>
                <w:szCs w:val="20"/>
                <w:color w:val="auto"/>
              </w:rPr>
            </w:pPr>
            <w:r>
              <w:rPr>
                <w:rFonts w:ascii="Arial" w:cs="Arial" w:eastAsia="Arial" w:hAnsi="Arial"/>
                <w:sz w:val="18"/>
                <w:szCs w:val="18"/>
                <w:color w:val="auto"/>
              </w:rPr>
              <w:t>TABLE OF CONTENTS</w:t>
            </w:r>
          </w:p>
        </w:tc>
        <w:tc>
          <w:tcPr>
            <w:tcW w:w="1240" w:type="dxa"/>
            <w:vAlign w:val="bottom"/>
          </w:tcPr>
          <w:p>
            <w:pPr>
              <w:spacing w:after="0"/>
              <w:rPr>
                <w:sz w:val="20"/>
                <w:szCs w:val="20"/>
                <w:color w:val="auto"/>
              </w:rPr>
            </w:pPr>
          </w:p>
        </w:tc>
      </w:tr>
      <w:tr>
        <w:trPr>
          <w:trHeight w:val="459"/>
        </w:trPr>
        <w:tc>
          <w:tcPr>
            <w:tcW w:w="1500" w:type="dxa"/>
            <w:vAlign w:val="bottom"/>
          </w:tcPr>
          <w:p>
            <w:pPr>
              <w:spacing w:after="0"/>
              <w:rPr>
                <w:sz w:val="20"/>
                <w:szCs w:val="20"/>
                <w:color w:val="auto"/>
              </w:rPr>
            </w:pPr>
            <w:r>
              <w:rPr>
                <w:rFonts w:ascii="Arial" w:cs="Arial" w:eastAsia="Arial" w:hAnsi="Arial"/>
                <w:sz w:val="18"/>
                <w:szCs w:val="18"/>
                <w:color w:val="auto"/>
              </w:rPr>
              <w:t>ARTICLE I</w:t>
            </w:r>
          </w:p>
        </w:tc>
        <w:tc>
          <w:tcPr>
            <w:tcW w:w="8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DEFINITIONS</w:t>
            </w:r>
          </w:p>
        </w:tc>
        <w:tc>
          <w:tcPr>
            <w:tcW w:w="8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220" w:type="dxa"/>
            <w:vAlign w:val="bottom"/>
          </w:tcPr>
          <w:p>
            <w:pPr>
              <w:ind w:left="240"/>
              <w:spacing w:after="0"/>
              <w:rPr>
                <w:sz w:val="20"/>
                <w:szCs w:val="20"/>
                <w:color w:val="auto"/>
              </w:rPr>
            </w:pPr>
            <w:r>
              <w:rPr>
                <w:rFonts w:ascii="Arial" w:cs="Arial" w:eastAsia="Arial" w:hAnsi="Arial"/>
                <w:sz w:val="18"/>
                <w:szCs w:val="18"/>
                <w:color w:val="auto"/>
              </w:rPr>
              <w:t>“ADS Record Date”</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22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220" w:type="dxa"/>
            <w:vAlign w:val="bottom"/>
          </w:tcPr>
          <w:p>
            <w:pPr>
              <w:ind w:left="240"/>
              <w:spacing w:after="0"/>
              <w:rPr>
                <w:sz w:val="20"/>
                <w:szCs w:val="20"/>
                <w:color w:val="auto"/>
              </w:rPr>
            </w:pPr>
            <w:r>
              <w:rPr>
                <w:rFonts w:ascii="Arial" w:cs="Arial" w:eastAsia="Arial" w:hAnsi="Arial"/>
                <w:sz w:val="18"/>
                <w:szCs w:val="18"/>
                <w:color w:val="auto"/>
              </w:rPr>
              <w:t>“American Depositary Receipt(s)”, “ADR(s)” and “Receipt(s)”</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220" w:type="dxa"/>
            <w:vAlign w:val="bottom"/>
          </w:tcPr>
          <w:p>
            <w:pPr>
              <w:ind w:left="240"/>
              <w:spacing w:after="0"/>
              <w:rPr>
                <w:sz w:val="20"/>
                <w:szCs w:val="20"/>
                <w:color w:val="auto"/>
              </w:rPr>
            </w:pPr>
            <w:r>
              <w:rPr>
                <w:rFonts w:ascii="Arial" w:cs="Arial" w:eastAsia="Arial" w:hAnsi="Arial"/>
                <w:sz w:val="18"/>
                <w:szCs w:val="18"/>
                <w:color w:val="auto"/>
              </w:rPr>
              <w:t>“American Depositary Share(s)” and “ADS(s)”</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8220" w:type="dxa"/>
            <w:vAlign w:val="bottom"/>
          </w:tcPr>
          <w:p>
            <w:pPr>
              <w:ind w:left="240"/>
              <w:spacing w:after="0"/>
              <w:rPr>
                <w:sz w:val="20"/>
                <w:szCs w:val="20"/>
                <w:color w:val="auto"/>
              </w:rPr>
            </w:pPr>
            <w:r>
              <w:rPr>
                <w:rFonts w:ascii="Arial" w:cs="Arial" w:eastAsia="Arial" w:hAnsi="Arial"/>
                <w:sz w:val="18"/>
                <w:szCs w:val="18"/>
                <w:color w:val="auto"/>
              </w:rPr>
              <w:t>“Articles of Association”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8220" w:type="dxa"/>
            <w:vAlign w:val="bottom"/>
          </w:tcPr>
          <w:p>
            <w:pPr>
              <w:ind w:left="240"/>
              <w:spacing w:after="0"/>
              <w:rPr>
                <w:sz w:val="20"/>
                <w:szCs w:val="20"/>
                <w:color w:val="auto"/>
              </w:rPr>
            </w:pPr>
            <w:r>
              <w:rPr>
                <w:rFonts w:ascii="Arial" w:cs="Arial" w:eastAsia="Arial" w:hAnsi="Arial"/>
                <w:sz w:val="18"/>
                <w:szCs w:val="18"/>
                <w:color w:val="auto"/>
              </w:rPr>
              <w:t>“Beneficial Owner”</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8220" w:type="dxa"/>
            <w:vAlign w:val="bottom"/>
          </w:tcPr>
          <w:p>
            <w:pPr>
              <w:ind w:left="240"/>
              <w:spacing w:after="0"/>
              <w:rPr>
                <w:sz w:val="20"/>
                <w:szCs w:val="20"/>
                <w:color w:val="auto"/>
              </w:rPr>
            </w:pPr>
            <w:r>
              <w:rPr>
                <w:rFonts w:ascii="Arial" w:cs="Arial" w:eastAsia="Arial" w:hAnsi="Arial"/>
                <w:sz w:val="18"/>
                <w:szCs w:val="18"/>
                <w:color w:val="auto"/>
              </w:rPr>
              <w:t>“Certificated ADS(s)”</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8220" w:type="dxa"/>
            <w:vAlign w:val="bottom"/>
          </w:tcPr>
          <w:p>
            <w:pPr>
              <w:ind w:left="240"/>
              <w:spacing w:after="0"/>
              <w:rPr>
                <w:sz w:val="20"/>
                <w:szCs w:val="20"/>
                <w:color w:val="auto"/>
              </w:rPr>
            </w:pPr>
            <w:r>
              <w:rPr>
                <w:rFonts w:ascii="Arial" w:cs="Arial" w:eastAsia="Arial" w:hAnsi="Arial"/>
                <w:sz w:val="18"/>
                <w:szCs w:val="18"/>
                <w:color w:val="auto"/>
              </w:rPr>
              <w:t>“Citibank”</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8220" w:type="dxa"/>
            <w:vAlign w:val="bottom"/>
          </w:tcPr>
          <w:p>
            <w:pPr>
              <w:ind w:left="240"/>
              <w:spacing w:after="0"/>
              <w:rPr>
                <w:sz w:val="20"/>
                <w:szCs w:val="20"/>
                <w:color w:val="auto"/>
              </w:rPr>
            </w:pPr>
            <w:r>
              <w:rPr>
                <w:rFonts w:ascii="Arial" w:cs="Arial" w:eastAsia="Arial" w:hAnsi="Arial"/>
                <w:sz w:val="18"/>
                <w:szCs w:val="18"/>
                <w:color w:val="auto"/>
              </w:rPr>
              <w:t>“Commission”</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220" w:type="dxa"/>
            <w:vAlign w:val="bottom"/>
          </w:tcPr>
          <w:p>
            <w:pPr>
              <w:ind w:left="24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220" w:type="dxa"/>
            <w:vAlign w:val="bottom"/>
          </w:tcPr>
          <w:p>
            <w:pPr>
              <w:ind w:left="240"/>
              <w:spacing w:after="0"/>
              <w:rPr>
                <w:sz w:val="20"/>
                <w:szCs w:val="20"/>
                <w:color w:val="auto"/>
              </w:rPr>
            </w:pPr>
            <w:r>
              <w:rPr>
                <w:rFonts w:ascii="Arial" w:cs="Arial" w:eastAsia="Arial" w:hAnsi="Arial"/>
                <w:sz w:val="18"/>
                <w:szCs w:val="18"/>
                <w:color w:val="auto"/>
              </w:rPr>
              <w:t>“CREST”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220" w:type="dxa"/>
            <w:vAlign w:val="bottom"/>
          </w:tcPr>
          <w:p>
            <w:pPr>
              <w:ind w:left="240"/>
              <w:spacing w:after="0"/>
              <w:rPr>
                <w:sz w:val="20"/>
                <w:szCs w:val="20"/>
                <w:color w:val="auto"/>
              </w:rPr>
            </w:pPr>
            <w:r>
              <w:rPr>
                <w:rFonts w:ascii="Arial" w:cs="Arial" w:eastAsia="Arial" w:hAnsi="Arial"/>
                <w:sz w:val="18"/>
                <w:szCs w:val="18"/>
                <w:color w:val="auto"/>
              </w:rPr>
              <w:t>“Custodian”</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220" w:type="dxa"/>
            <w:vAlign w:val="bottom"/>
          </w:tcPr>
          <w:p>
            <w:pPr>
              <w:ind w:left="240"/>
              <w:spacing w:after="0"/>
              <w:rPr>
                <w:sz w:val="20"/>
                <w:szCs w:val="20"/>
                <w:color w:val="auto"/>
              </w:rPr>
            </w:pPr>
            <w:r>
              <w:rPr>
                <w:rFonts w:ascii="Arial" w:cs="Arial" w:eastAsia="Arial" w:hAnsi="Arial"/>
                <w:sz w:val="18"/>
                <w:szCs w:val="18"/>
                <w:color w:val="auto"/>
              </w:rPr>
              <w:t>“Deliver” and “Delivery”</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220" w:type="dxa"/>
            <w:vAlign w:val="bottom"/>
          </w:tcPr>
          <w:p>
            <w:pPr>
              <w:ind w:left="240"/>
              <w:spacing w:after="0"/>
              <w:rPr>
                <w:sz w:val="20"/>
                <w:szCs w:val="20"/>
                <w:color w:val="auto"/>
              </w:rPr>
            </w:pPr>
            <w:r>
              <w:rPr>
                <w:rFonts w:ascii="Arial" w:cs="Arial" w:eastAsia="Arial" w:hAnsi="Arial"/>
                <w:sz w:val="18"/>
                <w:szCs w:val="18"/>
                <w:color w:val="auto"/>
              </w:rPr>
              <w:t>“Deposit Agreement”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8220" w:type="dxa"/>
            <w:vAlign w:val="bottom"/>
          </w:tcPr>
          <w:p>
            <w:pPr>
              <w:ind w:left="240"/>
              <w:spacing w:after="0"/>
              <w:rPr>
                <w:sz w:val="20"/>
                <w:szCs w:val="20"/>
                <w:color w:val="auto"/>
              </w:rPr>
            </w:pPr>
            <w:r>
              <w:rPr>
                <w:rFonts w:ascii="Arial" w:cs="Arial" w:eastAsia="Arial" w:hAnsi="Arial"/>
                <w:sz w:val="18"/>
                <w:szCs w:val="18"/>
                <w:color w:val="auto"/>
              </w:rPr>
              <w:t>“Depositary”</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8220" w:type="dxa"/>
            <w:vAlign w:val="bottom"/>
          </w:tcPr>
          <w:p>
            <w:pPr>
              <w:ind w:left="240"/>
              <w:spacing w:after="0"/>
              <w:rPr>
                <w:sz w:val="20"/>
                <w:szCs w:val="20"/>
                <w:color w:val="auto"/>
              </w:rPr>
            </w:pPr>
            <w:r>
              <w:rPr>
                <w:rFonts w:ascii="Arial" w:cs="Arial" w:eastAsia="Arial" w:hAnsi="Arial"/>
                <w:sz w:val="18"/>
                <w:szCs w:val="18"/>
                <w:color w:val="auto"/>
              </w:rPr>
              <w:t>“Deposited Property”</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8220" w:type="dxa"/>
            <w:vAlign w:val="bottom"/>
          </w:tcPr>
          <w:p>
            <w:pPr>
              <w:ind w:left="240"/>
              <w:spacing w:after="0"/>
              <w:rPr>
                <w:sz w:val="20"/>
                <w:szCs w:val="20"/>
                <w:color w:val="auto"/>
              </w:rPr>
            </w:pPr>
            <w:r>
              <w:rPr>
                <w:rFonts w:ascii="Arial" w:cs="Arial" w:eastAsia="Arial" w:hAnsi="Arial"/>
                <w:sz w:val="18"/>
                <w:szCs w:val="18"/>
                <w:color w:val="auto"/>
              </w:rPr>
              <w:t>“Deposited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8220" w:type="dxa"/>
            <w:vAlign w:val="bottom"/>
          </w:tcPr>
          <w:p>
            <w:pPr>
              <w:ind w:left="240"/>
              <w:spacing w:after="0"/>
              <w:rPr>
                <w:sz w:val="20"/>
                <w:szCs w:val="20"/>
                <w:color w:val="auto"/>
              </w:rPr>
            </w:pPr>
            <w:r>
              <w:rPr>
                <w:rFonts w:ascii="Arial" w:cs="Arial" w:eastAsia="Arial" w:hAnsi="Arial"/>
                <w:sz w:val="18"/>
                <w:szCs w:val="18"/>
                <w:color w:val="auto"/>
              </w:rPr>
              <w:t>“Disclosure Guidence and Transparency Rules” or “DTRs”</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8220" w:type="dxa"/>
            <w:vAlign w:val="bottom"/>
          </w:tcPr>
          <w:p>
            <w:pPr>
              <w:ind w:left="240"/>
              <w:spacing w:after="0"/>
              <w:rPr>
                <w:sz w:val="20"/>
                <w:szCs w:val="20"/>
                <w:color w:val="auto"/>
              </w:rPr>
            </w:pPr>
            <w:r>
              <w:rPr>
                <w:rFonts w:ascii="Arial" w:cs="Arial" w:eastAsia="Arial" w:hAnsi="Arial"/>
                <w:sz w:val="18"/>
                <w:szCs w:val="18"/>
                <w:color w:val="auto"/>
              </w:rPr>
              <w:t>“Dollars” and “$”</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1.20</w:t>
            </w:r>
          </w:p>
        </w:tc>
        <w:tc>
          <w:tcPr>
            <w:tcW w:w="8220" w:type="dxa"/>
            <w:vAlign w:val="bottom"/>
          </w:tcPr>
          <w:p>
            <w:pPr>
              <w:ind w:left="240"/>
              <w:spacing w:after="0"/>
              <w:rPr>
                <w:sz w:val="20"/>
                <w:szCs w:val="20"/>
                <w:color w:val="auto"/>
              </w:rPr>
            </w:pPr>
            <w:r>
              <w:rPr>
                <w:rFonts w:ascii="Arial" w:cs="Arial" w:eastAsia="Arial" w:hAnsi="Arial"/>
                <w:sz w:val="18"/>
                <w:szCs w:val="18"/>
                <w:color w:val="auto"/>
              </w:rPr>
              <w:t>“DTC”</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8220" w:type="dxa"/>
            <w:vAlign w:val="bottom"/>
          </w:tcPr>
          <w:p>
            <w:pPr>
              <w:ind w:left="240"/>
              <w:spacing w:after="0"/>
              <w:rPr>
                <w:sz w:val="20"/>
                <w:szCs w:val="20"/>
                <w:color w:val="auto"/>
              </w:rPr>
            </w:pPr>
            <w:r>
              <w:rPr>
                <w:rFonts w:ascii="Arial" w:cs="Arial" w:eastAsia="Arial" w:hAnsi="Arial"/>
                <w:sz w:val="18"/>
                <w:szCs w:val="18"/>
                <w:color w:val="auto"/>
              </w:rPr>
              <w:t>“DTC Participant”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8220" w:type="dxa"/>
            <w:vAlign w:val="bottom"/>
          </w:tcPr>
          <w:p>
            <w:pPr>
              <w:ind w:left="240"/>
              <w:spacing w:after="0"/>
              <w:rPr>
                <w:sz w:val="20"/>
                <w:szCs w:val="20"/>
                <w:color w:val="auto"/>
              </w:rPr>
            </w:pPr>
            <w:r>
              <w:rPr>
                <w:rFonts w:ascii="Arial" w:cs="Arial" w:eastAsia="Arial" w:hAnsi="Arial"/>
                <w:sz w:val="18"/>
                <w:szCs w:val="18"/>
                <w:color w:val="auto"/>
              </w:rPr>
              <w:t>“Exchange Act”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8220" w:type="dxa"/>
            <w:vAlign w:val="bottom"/>
          </w:tcPr>
          <w:p>
            <w:pPr>
              <w:ind w:left="240"/>
              <w:spacing w:after="0"/>
              <w:rPr>
                <w:sz w:val="20"/>
                <w:szCs w:val="20"/>
                <w:color w:val="auto"/>
              </w:rPr>
            </w:pPr>
            <w:r>
              <w:rPr>
                <w:rFonts w:ascii="Arial" w:cs="Arial" w:eastAsia="Arial" w:hAnsi="Arial"/>
                <w:sz w:val="18"/>
                <w:szCs w:val="18"/>
                <w:color w:val="auto"/>
              </w:rPr>
              <w:t>“Foreign Currency”</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8220" w:type="dxa"/>
            <w:vAlign w:val="bottom"/>
          </w:tcPr>
          <w:p>
            <w:pPr>
              <w:ind w:left="24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8220" w:type="dxa"/>
            <w:vAlign w:val="bottom"/>
          </w:tcPr>
          <w:p>
            <w:pPr>
              <w:ind w:left="240"/>
              <w:spacing w:after="0"/>
              <w:rPr>
                <w:sz w:val="20"/>
                <w:szCs w:val="20"/>
                <w:color w:val="auto"/>
              </w:rPr>
            </w:pPr>
            <w:r>
              <w:rPr>
                <w:rFonts w:ascii="Arial" w:cs="Arial" w:eastAsia="Arial" w:hAnsi="Arial"/>
                <w:sz w:val="18"/>
                <w:szCs w:val="18"/>
                <w:color w:val="auto"/>
              </w:rPr>
              <w:t>“Holder(s)”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8220" w:type="dxa"/>
            <w:vAlign w:val="bottom"/>
          </w:tcPr>
          <w:p>
            <w:pPr>
              <w:ind w:left="24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8220" w:type="dxa"/>
            <w:vAlign w:val="bottom"/>
          </w:tcPr>
          <w:p>
            <w:pPr>
              <w:ind w:left="240"/>
              <w:spacing w:after="0"/>
              <w:rPr>
                <w:sz w:val="20"/>
                <w:szCs w:val="20"/>
                <w:color w:val="auto"/>
              </w:rPr>
            </w:pPr>
            <w:r>
              <w:rPr>
                <w:rFonts w:ascii="Arial" w:cs="Arial" w:eastAsia="Arial" w:hAnsi="Arial"/>
                <w:sz w:val="18"/>
                <w:szCs w:val="18"/>
                <w:color w:val="auto"/>
              </w:rPr>
              <w:t>“Pounds”, “Pence”, and “£”</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8220" w:type="dxa"/>
            <w:vAlign w:val="bottom"/>
          </w:tcPr>
          <w:p>
            <w:pPr>
              <w:ind w:left="240"/>
              <w:spacing w:after="0"/>
              <w:rPr>
                <w:sz w:val="20"/>
                <w:szCs w:val="20"/>
                <w:color w:val="auto"/>
              </w:rPr>
            </w:pPr>
            <w:r>
              <w:rPr>
                <w:rFonts w:ascii="Arial" w:cs="Arial" w:eastAsia="Arial" w:hAnsi="Arial"/>
                <w:sz w:val="18"/>
                <w:szCs w:val="18"/>
                <w:color w:val="auto"/>
              </w:rPr>
              <w:t>“Principal Office”</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8220" w:type="dxa"/>
            <w:vAlign w:val="bottom"/>
          </w:tcPr>
          <w:p>
            <w:pPr>
              <w:ind w:left="240"/>
              <w:spacing w:after="0"/>
              <w:rPr>
                <w:sz w:val="20"/>
                <w:szCs w:val="20"/>
                <w:color w:val="auto"/>
              </w:rPr>
            </w:pPr>
            <w:r>
              <w:rPr>
                <w:rFonts w:ascii="Arial" w:cs="Arial" w:eastAsia="Arial" w:hAnsi="Arial"/>
                <w:sz w:val="18"/>
                <w:szCs w:val="18"/>
                <w:color w:val="auto"/>
              </w:rPr>
              <w:t>“Registrar”</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1.30</w:t>
            </w:r>
          </w:p>
        </w:tc>
        <w:tc>
          <w:tcPr>
            <w:tcW w:w="8220" w:type="dxa"/>
            <w:vAlign w:val="bottom"/>
          </w:tcPr>
          <w:p>
            <w:pPr>
              <w:ind w:left="240"/>
              <w:spacing w:after="0"/>
              <w:rPr>
                <w:sz w:val="20"/>
                <w:szCs w:val="20"/>
                <w:color w:val="auto"/>
              </w:rPr>
            </w:pPr>
            <w:r>
              <w:rPr>
                <w:rFonts w:ascii="Arial" w:cs="Arial" w:eastAsia="Arial" w:hAnsi="Arial"/>
                <w:sz w:val="18"/>
                <w:szCs w:val="18"/>
                <w:color w:val="auto"/>
              </w:rPr>
              <w:t>“Restricted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8220" w:type="dxa"/>
            <w:vAlign w:val="bottom"/>
          </w:tcPr>
          <w:p>
            <w:pPr>
              <w:ind w:left="240"/>
              <w:spacing w:after="0"/>
              <w:rPr>
                <w:sz w:val="20"/>
                <w:szCs w:val="20"/>
                <w:color w:val="auto"/>
              </w:rPr>
            </w:pPr>
            <w:r>
              <w:rPr>
                <w:rFonts w:ascii="Arial" w:cs="Arial" w:eastAsia="Arial" w:hAnsi="Arial"/>
                <w:sz w:val="18"/>
                <w:szCs w:val="18"/>
                <w:color w:val="auto"/>
              </w:rPr>
              <w:t>“Restricted ADR(s)” “Restricted ADS(s)” and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1.32</w:t>
            </w:r>
          </w:p>
        </w:tc>
        <w:tc>
          <w:tcPr>
            <w:tcW w:w="8220" w:type="dxa"/>
            <w:vAlign w:val="bottom"/>
          </w:tcPr>
          <w:p>
            <w:pPr>
              <w:ind w:left="240"/>
              <w:spacing w:after="0"/>
              <w:rPr>
                <w:sz w:val="20"/>
                <w:szCs w:val="20"/>
                <w:color w:val="auto"/>
              </w:rPr>
            </w:pPr>
            <w:r>
              <w:rPr>
                <w:rFonts w:ascii="Arial" w:cs="Arial" w:eastAsia="Arial" w:hAnsi="Arial"/>
                <w:sz w:val="18"/>
                <w:szCs w:val="18"/>
                <w:color w:val="auto"/>
              </w:rPr>
              <w:t>“Securities Act”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8220" w:type="dxa"/>
            <w:vAlign w:val="bottom"/>
          </w:tcPr>
          <w:p>
            <w:pPr>
              <w:ind w:left="240"/>
              <w:spacing w:after="0"/>
              <w:rPr>
                <w:sz w:val="20"/>
                <w:szCs w:val="20"/>
                <w:color w:val="auto"/>
              </w:rPr>
            </w:pPr>
            <w:r>
              <w:rPr>
                <w:rFonts w:ascii="Arial" w:cs="Arial" w:eastAsia="Arial" w:hAnsi="Arial"/>
                <w:sz w:val="18"/>
                <w:szCs w:val="18"/>
                <w:color w:val="auto"/>
              </w:rPr>
              <w:t>“Share Registrar”</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1.34</w:t>
            </w:r>
          </w:p>
        </w:tc>
        <w:tc>
          <w:tcPr>
            <w:tcW w:w="8220" w:type="dxa"/>
            <w:vAlign w:val="bottom"/>
          </w:tcPr>
          <w:p>
            <w:pPr>
              <w:ind w:left="240"/>
              <w:spacing w:after="0"/>
              <w:rPr>
                <w:sz w:val="20"/>
                <w:szCs w:val="20"/>
                <w:color w:val="auto"/>
              </w:rPr>
            </w:pPr>
            <w:r>
              <w:rPr>
                <w:rFonts w:ascii="Arial" w:cs="Arial" w:eastAsia="Arial" w:hAnsi="Arial"/>
                <w:sz w:val="18"/>
                <w:szCs w:val="18"/>
                <w:color w:val="auto"/>
              </w:rPr>
              <w:t>“Shares”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1.35</w:t>
            </w:r>
          </w:p>
        </w:tc>
        <w:tc>
          <w:tcPr>
            <w:tcW w:w="8220" w:type="dxa"/>
            <w:vAlign w:val="bottom"/>
          </w:tcPr>
          <w:p>
            <w:pPr>
              <w:ind w:left="240"/>
              <w:spacing w:after="0"/>
              <w:rPr>
                <w:sz w:val="20"/>
                <w:szCs w:val="20"/>
                <w:color w:val="auto"/>
              </w:rPr>
            </w:pPr>
            <w:r>
              <w:rPr>
                <w:rFonts w:ascii="Arial" w:cs="Arial" w:eastAsia="Arial" w:hAnsi="Arial"/>
                <w:sz w:val="18"/>
                <w:szCs w:val="18"/>
                <w:color w:val="auto"/>
              </w:rPr>
              <w:t>“Uncertificated ADS(s)”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1.36</w:t>
            </w:r>
          </w:p>
        </w:tc>
        <w:tc>
          <w:tcPr>
            <w:tcW w:w="8220" w:type="dxa"/>
            <w:vAlign w:val="bottom"/>
          </w:tcPr>
          <w:p>
            <w:pPr>
              <w:ind w:left="240"/>
              <w:spacing w:after="0"/>
              <w:rPr>
                <w:sz w:val="20"/>
                <w:szCs w:val="20"/>
                <w:color w:val="auto"/>
              </w:rPr>
            </w:pPr>
            <w:r>
              <w:rPr>
                <w:rFonts w:ascii="Arial" w:cs="Arial" w:eastAsia="Arial" w:hAnsi="Arial"/>
                <w:sz w:val="18"/>
                <w:szCs w:val="18"/>
                <w:color w:val="auto"/>
              </w:rPr>
              <w:t>“United States” and “U.S.”</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II</w:t>
            </w:r>
          </w:p>
        </w:tc>
        <w:tc>
          <w:tcPr>
            <w:tcW w:w="8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10"/>
        </w:trPr>
        <w:tc>
          <w:tcPr>
            <w:tcW w:w="10480" w:type="dxa"/>
            <w:vAlign w:val="bottom"/>
            <w:gridSpan w:val="2"/>
          </w:tcPr>
          <w:p>
            <w:pPr>
              <w:spacing w:after="0"/>
              <w:rPr>
                <w:sz w:val="20"/>
                <w:szCs w:val="20"/>
                <w:color w:val="auto"/>
              </w:rPr>
            </w:pPr>
            <w:r>
              <w:rPr>
                <w:rFonts w:ascii="Arial" w:cs="Arial" w:eastAsia="Arial" w:hAnsi="Arial"/>
                <w:sz w:val="18"/>
                <w:szCs w:val="18"/>
                <w:color w:val="auto"/>
                <w:w w:val="97"/>
              </w:rPr>
              <w:t>APPOINTMENT OF DEPOSITARY; FORM OF RECEIPTS; DEPOSIT OF SHARES; EXECUTION AND DELIVERY, TRANSFER AND</w:t>
            </w:r>
          </w:p>
        </w:tc>
        <w:tc>
          <w:tcPr>
            <w:tcW w:w="480" w:type="dxa"/>
            <w:vAlign w:val="bottom"/>
          </w:tcPr>
          <w:p>
            <w:pPr>
              <w:spacing w:after="0"/>
              <w:rPr>
                <w:sz w:val="24"/>
                <w:szCs w:val="24"/>
                <w:color w:val="auto"/>
              </w:rPr>
            </w:pPr>
          </w:p>
        </w:tc>
      </w:tr>
      <w:tr>
        <w:trPr>
          <w:trHeight w:val="216"/>
        </w:trPr>
        <w:tc>
          <w:tcPr>
            <w:tcW w:w="10480" w:type="dxa"/>
            <w:vAlign w:val="bottom"/>
            <w:gridSpan w:val="2"/>
          </w:tcPr>
          <w:p>
            <w:pPr>
              <w:ind w:left="180"/>
              <w:spacing w:after="0"/>
              <w:rPr>
                <w:sz w:val="20"/>
                <w:szCs w:val="20"/>
                <w:color w:val="auto"/>
              </w:rPr>
            </w:pPr>
            <w:r>
              <w:rPr>
                <w:rFonts w:ascii="Arial" w:cs="Arial" w:eastAsia="Arial" w:hAnsi="Arial"/>
                <w:sz w:val="18"/>
                <w:szCs w:val="18"/>
                <w:color w:val="auto"/>
              </w:rPr>
              <w:t>SURRENDER OF RECEIPTS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980" w:type="dxa"/>
            <w:vAlign w:val="bottom"/>
          </w:tcPr>
          <w:p>
            <w:pPr>
              <w:ind w:left="240"/>
              <w:spacing w:after="0"/>
              <w:rPr>
                <w:sz w:val="20"/>
                <w:szCs w:val="20"/>
                <w:color w:val="auto"/>
              </w:rPr>
            </w:pPr>
            <w:r>
              <w:rPr>
                <w:rFonts w:ascii="Arial" w:cs="Arial" w:eastAsia="Arial" w:hAnsi="Arial"/>
                <w:sz w:val="18"/>
                <w:szCs w:val="18"/>
                <w:color w:val="auto"/>
              </w:rPr>
              <w:t>Appointment of Depositary</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980" w:type="dxa"/>
            <w:vAlign w:val="bottom"/>
          </w:tcPr>
          <w:p>
            <w:pPr>
              <w:ind w:left="240"/>
              <w:spacing w:after="0"/>
              <w:rPr>
                <w:sz w:val="20"/>
                <w:szCs w:val="20"/>
                <w:color w:val="auto"/>
              </w:rPr>
            </w:pPr>
            <w:r>
              <w:rPr>
                <w:rFonts w:ascii="Arial" w:cs="Arial" w:eastAsia="Arial" w:hAnsi="Arial"/>
                <w:sz w:val="18"/>
                <w:szCs w:val="18"/>
                <w:color w:val="auto"/>
              </w:rPr>
              <w:t>Form and Transferability of ADSs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980" w:type="dxa"/>
            <w:vAlign w:val="bottom"/>
          </w:tcPr>
          <w:p>
            <w:pPr>
              <w:ind w:left="240"/>
              <w:spacing w:after="0"/>
              <w:rPr>
                <w:sz w:val="20"/>
                <w:szCs w:val="20"/>
                <w:color w:val="auto"/>
              </w:rPr>
            </w:pPr>
            <w:r>
              <w:rPr>
                <w:rFonts w:ascii="Arial" w:cs="Arial" w:eastAsia="Arial" w:hAnsi="Arial"/>
                <w:sz w:val="18"/>
                <w:szCs w:val="18"/>
                <w:color w:val="auto"/>
              </w:rPr>
              <w:t>Deposit of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980" w:type="dxa"/>
            <w:vAlign w:val="bottom"/>
          </w:tcPr>
          <w:p>
            <w:pPr>
              <w:ind w:left="240"/>
              <w:spacing w:after="0"/>
              <w:rPr>
                <w:sz w:val="20"/>
                <w:szCs w:val="20"/>
                <w:color w:val="auto"/>
              </w:rPr>
            </w:pPr>
            <w:r>
              <w:rPr>
                <w:rFonts w:ascii="Arial" w:cs="Arial" w:eastAsia="Arial" w:hAnsi="Arial"/>
                <w:sz w:val="18"/>
                <w:szCs w:val="18"/>
                <w:color w:val="auto"/>
              </w:rPr>
              <w:t>Registration and Safekeeping of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980" w:type="dxa"/>
            <w:vAlign w:val="bottom"/>
          </w:tcPr>
          <w:p>
            <w:pPr>
              <w:ind w:left="240"/>
              <w:spacing w:after="0"/>
              <w:rPr>
                <w:sz w:val="20"/>
                <w:szCs w:val="20"/>
                <w:color w:val="auto"/>
              </w:rPr>
            </w:pPr>
            <w:r>
              <w:rPr>
                <w:rFonts w:ascii="Arial" w:cs="Arial" w:eastAsia="Arial" w:hAnsi="Arial"/>
                <w:sz w:val="18"/>
                <w:szCs w:val="18"/>
                <w:color w:val="auto"/>
              </w:rPr>
              <w:t>Issuance of ADSs</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980" w:type="dxa"/>
            <w:vAlign w:val="bottom"/>
          </w:tcPr>
          <w:p>
            <w:pPr>
              <w:ind w:left="240"/>
              <w:spacing w:after="0"/>
              <w:rPr>
                <w:sz w:val="20"/>
                <w:szCs w:val="20"/>
                <w:color w:val="auto"/>
              </w:rPr>
            </w:pPr>
            <w:r>
              <w:rPr>
                <w:rFonts w:ascii="Arial" w:cs="Arial" w:eastAsia="Arial" w:hAnsi="Arial"/>
                <w:sz w:val="18"/>
                <w:szCs w:val="18"/>
                <w:color w:val="auto"/>
              </w:rPr>
              <w:t>Transfer, Combination and Split-up of ADRs</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980" w:type="dxa"/>
            <w:vAlign w:val="bottom"/>
          </w:tcPr>
          <w:p>
            <w:pPr>
              <w:ind w:left="240"/>
              <w:spacing w:after="0"/>
              <w:rPr>
                <w:sz w:val="20"/>
                <w:szCs w:val="20"/>
                <w:color w:val="auto"/>
              </w:rPr>
            </w:pPr>
            <w:r>
              <w:rPr>
                <w:rFonts w:ascii="Arial" w:cs="Arial" w:eastAsia="Arial" w:hAnsi="Arial"/>
                <w:sz w:val="18"/>
                <w:szCs w:val="18"/>
                <w:color w:val="auto"/>
              </w:rPr>
              <w:t>Surrender of ADSs and Withdrawal of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980" w:type="dxa"/>
            <w:vAlign w:val="bottom"/>
          </w:tcPr>
          <w:p>
            <w:pPr>
              <w:ind w:left="24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980" w:type="dxa"/>
            <w:vAlign w:val="bottom"/>
          </w:tcPr>
          <w:p>
            <w:pPr>
              <w:ind w:left="240"/>
              <w:spacing w:after="0"/>
              <w:rPr>
                <w:sz w:val="20"/>
                <w:szCs w:val="20"/>
                <w:color w:val="auto"/>
              </w:rPr>
            </w:pPr>
            <w:r>
              <w:rPr>
                <w:rFonts w:ascii="Arial" w:cs="Arial" w:eastAsia="Arial" w:hAnsi="Arial"/>
                <w:sz w:val="18"/>
                <w:szCs w:val="18"/>
                <w:color w:val="auto"/>
              </w:rPr>
              <w:t>Lost ADRs, etc</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980" w:type="dxa"/>
            <w:vAlign w:val="bottom"/>
          </w:tcPr>
          <w:p>
            <w:pPr>
              <w:ind w:left="24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980" w:type="dxa"/>
            <w:vAlign w:val="bottom"/>
          </w:tcPr>
          <w:p>
            <w:pPr>
              <w:ind w:left="240"/>
              <w:spacing w:after="0"/>
              <w:rPr>
                <w:sz w:val="20"/>
                <w:szCs w:val="20"/>
                <w:color w:val="auto"/>
              </w:rPr>
            </w:pPr>
            <w:r>
              <w:rPr>
                <w:rFonts w:ascii="Arial" w:cs="Arial" w:eastAsia="Arial" w:hAnsi="Arial"/>
                <w:sz w:val="18"/>
                <w:szCs w:val="18"/>
                <w:color w:val="auto"/>
              </w:rPr>
              <w:t>Escheatment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980" w:type="dxa"/>
            <w:vAlign w:val="bottom"/>
          </w:tcPr>
          <w:p>
            <w:pPr>
              <w:ind w:left="240"/>
              <w:spacing w:after="0"/>
              <w:rPr>
                <w:sz w:val="20"/>
                <w:szCs w:val="20"/>
                <w:color w:val="auto"/>
              </w:rPr>
            </w:pPr>
            <w:r>
              <w:rPr>
                <w:rFonts w:ascii="Arial" w:cs="Arial" w:eastAsia="Arial" w:hAnsi="Arial"/>
                <w:sz w:val="18"/>
                <w:szCs w:val="18"/>
                <w:color w:val="auto"/>
              </w:rPr>
              <w:t>Partial Entitlement ADSs</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8980" w:type="dxa"/>
            <w:vAlign w:val="bottom"/>
          </w:tcPr>
          <w:p>
            <w:pPr>
              <w:ind w:left="240"/>
              <w:spacing w:after="0"/>
              <w:rPr>
                <w:sz w:val="20"/>
                <w:szCs w:val="20"/>
                <w:color w:val="auto"/>
              </w:rPr>
            </w:pPr>
            <w:r>
              <w:rPr>
                <w:rFonts w:ascii="Arial" w:cs="Arial" w:eastAsia="Arial" w:hAnsi="Arial"/>
                <w:sz w:val="18"/>
                <w:szCs w:val="18"/>
                <w:color w:val="auto"/>
              </w:rPr>
              <w:t>Certificated/Uncertificated ADSs</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8980" w:type="dxa"/>
            <w:vAlign w:val="bottom"/>
          </w:tcPr>
          <w:p>
            <w:pPr>
              <w:ind w:left="240"/>
              <w:spacing w:after="0"/>
              <w:rPr>
                <w:sz w:val="20"/>
                <w:szCs w:val="20"/>
                <w:color w:val="auto"/>
              </w:rPr>
            </w:pPr>
            <w:r>
              <w:rPr>
                <w:rFonts w:ascii="Arial" w:cs="Arial" w:eastAsia="Arial" w:hAnsi="Arial"/>
                <w:sz w:val="18"/>
                <w:szCs w:val="18"/>
                <w:color w:val="auto"/>
              </w:rPr>
              <w:t>Restricted ADSs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III</w:t>
            </w:r>
          </w:p>
        </w:tc>
        <w:tc>
          <w:tcPr>
            <w:tcW w:w="8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0"/>
        </w:trPr>
        <w:tc>
          <w:tcPr>
            <w:tcW w:w="10480" w:type="dxa"/>
            <w:vAlign w:val="bottom"/>
            <w:gridSpan w:val="2"/>
          </w:tcPr>
          <w:p>
            <w:pPr>
              <w:spacing w:after="0"/>
              <w:rPr>
                <w:sz w:val="20"/>
                <w:szCs w:val="20"/>
                <w:color w:val="auto"/>
              </w:rPr>
            </w:pPr>
            <w:r>
              <w:rPr>
                <w:rFonts w:ascii="Arial" w:cs="Arial" w:eastAsia="Arial" w:hAnsi="Arial"/>
                <w:sz w:val="18"/>
                <w:szCs w:val="18"/>
                <w:color w:val="auto"/>
              </w:rPr>
              <w:t>CERTAIN OBLIGATIONS OF HOLDERS AND BENEFICIAL OWNERS OF ADSs</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980" w:type="dxa"/>
            <w:vAlign w:val="bottom"/>
          </w:tcPr>
          <w:p>
            <w:pPr>
              <w:ind w:left="240"/>
              <w:spacing w:after="0"/>
              <w:rPr>
                <w:sz w:val="20"/>
                <w:szCs w:val="20"/>
                <w:color w:val="auto"/>
              </w:rPr>
            </w:pPr>
            <w:r>
              <w:rPr>
                <w:rFonts w:ascii="Arial" w:cs="Arial" w:eastAsia="Arial" w:hAnsi="Arial"/>
                <w:sz w:val="18"/>
                <w:szCs w:val="18"/>
                <w:color w:val="auto"/>
              </w:rPr>
              <w:t>Proofs, Certificates and 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980" w:type="dxa"/>
            <w:vAlign w:val="bottom"/>
          </w:tcPr>
          <w:p>
            <w:pPr>
              <w:ind w:left="240"/>
              <w:spacing w:after="0"/>
              <w:rPr>
                <w:sz w:val="20"/>
                <w:szCs w:val="20"/>
                <w:color w:val="auto"/>
              </w:rPr>
            </w:pPr>
            <w:r>
              <w:rPr>
                <w:rFonts w:ascii="Arial" w:cs="Arial" w:eastAsia="Arial" w:hAnsi="Arial"/>
                <w:sz w:val="18"/>
                <w:szCs w:val="18"/>
                <w:color w:val="auto"/>
              </w:rPr>
              <w:t>Liability for Taxes and Other Charges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980" w:type="dxa"/>
            <w:vAlign w:val="bottom"/>
          </w:tcPr>
          <w:p>
            <w:pPr>
              <w:ind w:left="240"/>
              <w:spacing w:after="0"/>
              <w:rPr>
                <w:sz w:val="20"/>
                <w:szCs w:val="20"/>
                <w:color w:val="auto"/>
              </w:rPr>
            </w:pPr>
            <w:r>
              <w:rPr>
                <w:rFonts w:ascii="Arial" w:cs="Arial" w:eastAsia="Arial" w:hAnsi="Arial"/>
                <w:sz w:val="18"/>
                <w:szCs w:val="18"/>
                <w:color w:val="auto"/>
              </w:rPr>
              <w:t>Representations and Warranties on Deposit of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980" w:type="dxa"/>
            <w:vAlign w:val="bottom"/>
          </w:tcPr>
          <w:p>
            <w:pPr>
              <w:ind w:left="240"/>
              <w:spacing w:after="0"/>
              <w:rPr>
                <w:sz w:val="20"/>
                <w:szCs w:val="20"/>
                <w:color w:val="auto"/>
              </w:rPr>
            </w:pPr>
            <w:r>
              <w:rPr>
                <w:rFonts w:ascii="Arial" w:cs="Arial" w:eastAsia="Arial" w:hAnsi="Arial"/>
                <w:sz w:val="18"/>
                <w:szCs w:val="18"/>
                <w:color w:val="auto"/>
              </w:rPr>
              <w:t>Compliance with Information Requests</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980" w:type="dxa"/>
            <w:vAlign w:val="bottom"/>
          </w:tcPr>
          <w:p>
            <w:pPr>
              <w:ind w:left="240"/>
              <w:spacing w:after="0"/>
              <w:rPr>
                <w:sz w:val="20"/>
                <w:szCs w:val="20"/>
                <w:color w:val="auto"/>
              </w:rPr>
            </w:pPr>
            <w:r>
              <w:rPr>
                <w:rFonts w:ascii="Arial" w:cs="Arial" w:eastAsia="Arial" w:hAnsi="Arial"/>
                <w:sz w:val="18"/>
                <w:szCs w:val="18"/>
                <w:color w:val="auto"/>
              </w:rPr>
              <w:t>Ownership Restrictions</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980" w:type="dxa"/>
            <w:vAlign w:val="bottom"/>
          </w:tcPr>
          <w:p>
            <w:pPr>
              <w:ind w:left="240"/>
              <w:spacing w:after="0"/>
              <w:rPr>
                <w:sz w:val="20"/>
                <w:szCs w:val="20"/>
                <w:color w:val="auto"/>
              </w:rPr>
            </w:pPr>
            <w:r>
              <w:rPr>
                <w:rFonts w:ascii="Arial" w:cs="Arial" w:eastAsia="Arial" w:hAnsi="Arial"/>
                <w:sz w:val="18"/>
                <w:szCs w:val="18"/>
                <w:color w:val="auto"/>
              </w:rPr>
              <w:t>Reporting Obligations and Regulatory Approvals</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IV</w:t>
            </w:r>
          </w:p>
        </w:tc>
        <w:tc>
          <w:tcPr>
            <w:tcW w:w="8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0"/>
        </w:trPr>
        <w:tc>
          <w:tcPr>
            <w:tcW w:w="10480" w:type="dxa"/>
            <w:vAlign w:val="bottom"/>
            <w:gridSpan w:val="2"/>
          </w:tcPr>
          <w:p>
            <w:pPr>
              <w:spacing w:after="0"/>
              <w:rPr>
                <w:sz w:val="20"/>
                <w:szCs w:val="20"/>
                <w:color w:val="auto"/>
              </w:rPr>
            </w:pPr>
            <w:r>
              <w:rPr>
                <w:rFonts w:ascii="Arial" w:cs="Arial" w:eastAsia="Arial" w:hAnsi="Arial"/>
                <w:sz w:val="18"/>
                <w:szCs w:val="18"/>
                <w:color w:val="auto"/>
              </w:rPr>
              <w:t>THE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980" w:type="dxa"/>
            <w:vAlign w:val="bottom"/>
          </w:tcPr>
          <w:p>
            <w:pPr>
              <w:ind w:left="240"/>
              <w:spacing w:after="0"/>
              <w:rPr>
                <w:sz w:val="20"/>
                <w:szCs w:val="20"/>
                <w:color w:val="auto"/>
              </w:rPr>
            </w:pPr>
            <w:r>
              <w:rPr>
                <w:rFonts w:ascii="Arial" w:cs="Arial" w:eastAsia="Arial" w:hAnsi="Arial"/>
                <w:sz w:val="18"/>
                <w:szCs w:val="18"/>
                <w:color w:val="auto"/>
              </w:rPr>
              <w:t>Cash Distributions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980" w:type="dxa"/>
            <w:vAlign w:val="bottom"/>
          </w:tcPr>
          <w:p>
            <w:pPr>
              <w:ind w:left="240"/>
              <w:spacing w:after="0"/>
              <w:rPr>
                <w:sz w:val="20"/>
                <w:szCs w:val="20"/>
                <w:color w:val="auto"/>
              </w:rPr>
            </w:pPr>
            <w:r>
              <w:rPr>
                <w:rFonts w:ascii="Arial" w:cs="Arial" w:eastAsia="Arial" w:hAnsi="Arial"/>
                <w:sz w:val="18"/>
                <w:szCs w:val="18"/>
                <w:color w:val="auto"/>
              </w:rPr>
              <w:t>Distribution in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980" w:type="dxa"/>
            <w:vAlign w:val="bottom"/>
          </w:tcPr>
          <w:p>
            <w:pPr>
              <w:ind w:left="240"/>
              <w:spacing w:after="0"/>
              <w:rPr>
                <w:sz w:val="20"/>
                <w:szCs w:val="20"/>
                <w:color w:val="auto"/>
              </w:rPr>
            </w:pPr>
            <w:r>
              <w:rPr>
                <w:rFonts w:ascii="Arial" w:cs="Arial" w:eastAsia="Arial" w:hAnsi="Arial"/>
                <w:sz w:val="18"/>
                <w:szCs w:val="18"/>
                <w:color w:val="auto"/>
              </w:rPr>
              <w:t>Elective Distributions in Cash or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980" w:type="dxa"/>
            <w:vAlign w:val="bottom"/>
          </w:tcPr>
          <w:p>
            <w:pPr>
              <w:ind w:left="240"/>
              <w:spacing w:after="0"/>
              <w:rPr>
                <w:sz w:val="20"/>
                <w:szCs w:val="20"/>
                <w:color w:val="auto"/>
              </w:rPr>
            </w:pPr>
            <w:r>
              <w:rPr>
                <w:rFonts w:ascii="Arial" w:cs="Arial" w:eastAsia="Arial" w:hAnsi="Arial"/>
                <w:sz w:val="18"/>
                <w:szCs w:val="18"/>
                <w:color w:val="auto"/>
              </w:rPr>
              <w:t>Distribution of Rights to Purchase Additional ADSs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980" w:type="dxa"/>
            <w:vAlign w:val="bottom"/>
          </w:tcPr>
          <w:p>
            <w:pPr>
              <w:ind w:left="24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980" w:type="dxa"/>
            <w:vAlign w:val="bottom"/>
          </w:tcPr>
          <w:p>
            <w:pPr>
              <w:ind w:left="24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98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980" w:type="dxa"/>
            <w:vAlign w:val="bottom"/>
          </w:tcPr>
          <w:p>
            <w:pPr>
              <w:ind w:left="240"/>
              <w:spacing w:after="0"/>
              <w:rPr>
                <w:sz w:val="20"/>
                <w:szCs w:val="20"/>
                <w:color w:val="auto"/>
              </w:rPr>
            </w:pPr>
            <w:r>
              <w:rPr>
                <w:rFonts w:ascii="Arial" w:cs="Arial" w:eastAsia="Arial" w:hAnsi="Arial"/>
                <w:sz w:val="18"/>
                <w:szCs w:val="18"/>
                <w:color w:val="auto"/>
              </w:rPr>
              <w:t>Conversion of Foreign Currency</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980" w:type="dxa"/>
            <w:vAlign w:val="bottom"/>
          </w:tcPr>
          <w:p>
            <w:pPr>
              <w:ind w:left="240"/>
              <w:spacing w:after="0"/>
              <w:rPr>
                <w:sz w:val="20"/>
                <w:szCs w:val="20"/>
                <w:color w:val="auto"/>
              </w:rPr>
            </w:pPr>
            <w:r>
              <w:rPr>
                <w:rFonts w:ascii="Arial" w:cs="Arial" w:eastAsia="Arial" w:hAnsi="Arial"/>
                <w:sz w:val="18"/>
                <w:szCs w:val="18"/>
                <w:color w:val="auto"/>
              </w:rPr>
              <w:t>Fixing of ADS Record Date</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980" w:type="dxa"/>
            <w:vAlign w:val="bottom"/>
          </w:tcPr>
          <w:p>
            <w:pPr>
              <w:ind w:left="240"/>
              <w:spacing w:after="0"/>
              <w:rPr>
                <w:sz w:val="20"/>
                <w:szCs w:val="20"/>
                <w:color w:val="auto"/>
              </w:rPr>
            </w:pPr>
            <w:r>
              <w:rPr>
                <w:rFonts w:ascii="Arial" w:cs="Arial" w:eastAsia="Arial" w:hAnsi="Arial"/>
                <w:sz w:val="18"/>
                <w:szCs w:val="18"/>
                <w:color w:val="auto"/>
              </w:rPr>
              <w:t>Voting of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980" w:type="dxa"/>
            <w:vAlign w:val="bottom"/>
          </w:tcPr>
          <w:p>
            <w:pPr>
              <w:ind w:left="240"/>
              <w:spacing w:after="0"/>
              <w:rPr>
                <w:sz w:val="20"/>
                <w:szCs w:val="20"/>
                <w:color w:val="auto"/>
              </w:rPr>
            </w:pPr>
            <w:r>
              <w:rPr>
                <w:rFonts w:ascii="Arial" w:cs="Arial" w:eastAsia="Arial" w:hAnsi="Arial"/>
                <w:sz w:val="18"/>
                <w:szCs w:val="18"/>
                <w:color w:val="auto"/>
              </w:rPr>
              <w:t>Changes Affecting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7580" w:type="dxa"/>
            <w:vAlign w:val="bottom"/>
          </w:tcPr>
          <w:p>
            <w:pPr>
              <w:ind w:left="120"/>
              <w:spacing w:after="0"/>
              <w:rPr>
                <w:sz w:val="20"/>
                <w:szCs w:val="20"/>
                <w:color w:val="auto"/>
              </w:rPr>
            </w:pPr>
            <w:r>
              <w:rPr>
                <w:rFonts w:ascii="Arial" w:cs="Arial" w:eastAsia="Arial" w:hAnsi="Arial"/>
                <w:sz w:val="18"/>
                <w:szCs w:val="18"/>
                <w:color w:val="auto"/>
              </w:rPr>
              <w:t>Available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7580" w:type="dxa"/>
            <w:vAlign w:val="bottom"/>
          </w:tcPr>
          <w:p>
            <w:pPr>
              <w:ind w:left="120"/>
              <w:spacing w:after="0"/>
              <w:rPr>
                <w:sz w:val="20"/>
                <w:szCs w:val="20"/>
                <w:color w:val="auto"/>
              </w:rPr>
            </w:pPr>
            <w:r>
              <w:rPr>
                <w:rFonts w:ascii="Arial" w:cs="Arial" w:eastAsia="Arial" w:hAnsi="Arial"/>
                <w:sz w:val="18"/>
                <w:szCs w:val="18"/>
                <w:color w:val="auto"/>
              </w:rPr>
              <w:t>Reports</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7580" w:type="dxa"/>
            <w:vAlign w:val="bottom"/>
          </w:tcPr>
          <w:p>
            <w:pPr>
              <w:ind w:left="120"/>
              <w:spacing w:after="0"/>
              <w:rPr>
                <w:sz w:val="20"/>
                <w:szCs w:val="20"/>
                <w:color w:val="auto"/>
              </w:rPr>
            </w:pPr>
            <w:r>
              <w:rPr>
                <w:rFonts w:ascii="Arial" w:cs="Arial" w:eastAsia="Arial" w:hAnsi="Arial"/>
                <w:sz w:val="18"/>
                <w:szCs w:val="18"/>
                <w:color w:val="auto"/>
              </w:rPr>
              <w:t>List of 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7580" w:type="dxa"/>
            <w:vAlign w:val="bottom"/>
          </w:tcPr>
          <w:p>
            <w:pPr>
              <w:ind w:left="120"/>
              <w:spacing w:after="0"/>
              <w:rPr>
                <w:sz w:val="20"/>
                <w:szCs w:val="20"/>
                <w:color w:val="auto"/>
              </w:rPr>
            </w:pPr>
            <w:r>
              <w:rPr>
                <w:rFonts w:ascii="Arial" w:cs="Arial" w:eastAsia="Arial" w:hAnsi="Arial"/>
                <w:sz w:val="18"/>
                <w:szCs w:val="18"/>
                <w:color w:val="auto"/>
              </w:rPr>
              <w:t>Taxation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V</w:t>
            </w:r>
          </w:p>
        </w:tc>
        <w:tc>
          <w:tcPr>
            <w:tcW w:w="7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THE DEPOSITARY, THE CUSTODIAN AND THE COMPANY</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580" w:type="dxa"/>
            <w:vAlign w:val="bottom"/>
          </w:tcPr>
          <w:p>
            <w:pPr>
              <w:ind w:left="120"/>
              <w:spacing w:after="0"/>
              <w:rPr>
                <w:sz w:val="20"/>
                <w:szCs w:val="20"/>
                <w:color w:val="auto"/>
              </w:rPr>
            </w:pPr>
            <w:r>
              <w:rPr>
                <w:rFonts w:ascii="Arial" w:cs="Arial" w:eastAsia="Arial" w:hAnsi="Arial"/>
                <w:sz w:val="18"/>
                <w:szCs w:val="18"/>
                <w:color w:val="auto"/>
              </w:rPr>
              <w:t>Maintenance of Office and Transfer Books by the Registrar</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580" w:type="dxa"/>
            <w:vAlign w:val="bottom"/>
          </w:tcPr>
          <w:p>
            <w:pPr>
              <w:ind w:left="120"/>
              <w:spacing w:after="0"/>
              <w:rPr>
                <w:sz w:val="20"/>
                <w:szCs w:val="20"/>
                <w:color w:val="auto"/>
              </w:rPr>
            </w:pPr>
            <w:r>
              <w:rPr>
                <w:rFonts w:ascii="Arial" w:cs="Arial" w:eastAsia="Arial" w:hAnsi="Arial"/>
                <w:sz w:val="18"/>
                <w:szCs w:val="18"/>
                <w:color w:val="auto"/>
              </w:rPr>
              <w:t>Exoneration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580" w:type="dxa"/>
            <w:vAlign w:val="bottom"/>
          </w:tcPr>
          <w:p>
            <w:pPr>
              <w:ind w:left="120"/>
              <w:spacing w:after="0"/>
              <w:rPr>
                <w:sz w:val="20"/>
                <w:szCs w:val="20"/>
                <w:color w:val="auto"/>
              </w:rPr>
            </w:pPr>
            <w:r>
              <w:rPr>
                <w:rFonts w:ascii="Arial" w:cs="Arial" w:eastAsia="Arial" w:hAnsi="Arial"/>
                <w:sz w:val="18"/>
                <w:szCs w:val="18"/>
                <w:color w:val="auto"/>
              </w:rPr>
              <w:t>Standard of Care</w:t>
            </w: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580" w:type="dxa"/>
            <w:vAlign w:val="bottom"/>
          </w:tcPr>
          <w:p>
            <w:pPr>
              <w:ind w:left="12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580" w:type="dxa"/>
            <w:vAlign w:val="bottom"/>
          </w:tcPr>
          <w:p>
            <w:pPr>
              <w:ind w:left="120"/>
              <w:spacing w:after="0"/>
              <w:rPr>
                <w:sz w:val="20"/>
                <w:szCs w:val="20"/>
                <w:color w:val="auto"/>
              </w:rPr>
            </w:pPr>
            <w:r>
              <w:rPr>
                <w:rFonts w:ascii="Arial" w:cs="Arial" w:eastAsia="Arial" w:hAnsi="Arial"/>
                <w:sz w:val="18"/>
                <w:szCs w:val="18"/>
                <w:color w:val="auto"/>
              </w:rPr>
              <w:t>The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580" w:type="dxa"/>
            <w:vAlign w:val="bottom"/>
          </w:tcPr>
          <w:p>
            <w:pPr>
              <w:ind w:left="120"/>
              <w:spacing w:after="0"/>
              <w:rPr>
                <w:sz w:val="20"/>
                <w:szCs w:val="20"/>
                <w:color w:val="auto"/>
              </w:rPr>
            </w:pPr>
            <w:r>
              <w:rPr>
                <w:rFonts w:ascii="Arial" w:cs="Arial" w:eastAsia="Arial" w:hAnsi="Arial"/>
                <w:sz w:val="18"/>
                <w:szCs w:val="18"/>
                <w:color w:val="auto"/>
              </w:rPr>
              <w:t>Notices and Reports</w:t>
            </w:r>
          </w:p>
        </w:tc>
        <w:tc>
          <w:tcPr>
            <w:tcW w:w="1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580" w:type="dxa"/>
            <w:vAlign w:val="bottom"/>
          </w:tcPr>
          <w:p>
            <w:pPr>
              <w:ind w:left="120"/>
              <w:spacing w:after="0"/>
              <w:rPr>
                <w:sz w:val="20"/>
                <w:szCs w:val="20"/>
                <w:color w:val="auto"/>
              </w:rPr>
            </w:pPr>
            <w:r>
              <w:rPr>
                <w:rFonts w:ascii="Arial" w:cs="Arial" w:eastAsia="Arial" w:hAnsi="Arial"/>
                <w:sz w:val="18"/>
                <w:szCs w:val="18"/>
                <w:color w:val="auto"/>
              </w:rPr>
              <w:t>Issuance of Additional Shares, ADSs etc</w:t>
            </w:r>
          </w:p>
        </w:tc>
        <w:tc>
          <w:tcPr>
            <w:tcW w:w="17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5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580" w:type="dxa"/>
            <w:vAlign w:val="bottom"/>
          </w:tcPr>
          <w:p>
            <w:pPr>
              <w:ind w:left="120"/>
              <w:spacing w:after="0"/>
              <w:rPr>
                <w:sz w:val="20"/>
                <w:szCs w:val="20"/>
                <w:color w:val="auto"/>
              </w:rPr>
            </w:pPr>
            <w:r>
              <w:rPr>
                <w:rFonts w:ascii="Arial" w:cs="Arial" w:eastAsia="Arial" w:hAnsi="Arial"/>
                <w:sz w:val="18"/>
                <w:szCs w:val="18"/>
                <w:color w:val="auto"/>
              </w:rPr>
              <w:t>ADS Fees and Charges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580" w:type="dxa"/>
            <w:vAlign w:val="bottom"/>
          </w:tcPr>
          <w:p>
            <w:pPr>
              <w:ind w:left="120"/>
              <w:spacing w:after="0"/>
              <w:rPr>
                <w:sz w:val="20"/>
                <w:szCs w:val="20"/>
                <w:color w:val="auto"/>
              </w:rPr>
            </w:pPr>
            <w:r>
              <w:rPr>
                <w:rFonts w:ascii="Arial" w:cs="Arial" w:eastAsia="Arial" w:hAnsi="Arial"/>
                <w:sz w:val="18"/>
                <w:szCs w:val="18"/>
                <w:color w:val="auto"/>
              </w:rPr>
              <w:t>Restricted Securities Owners</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VI</w:t>
            </w:r>
          </w:p>
        </w:tc>
        <w:tc>
          <w:tcPr>
            <w:tcW w:w="7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rPr>
              <w:t>AMENDMENT AND 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580" w:type="dxa"/>
            <w:vAlign w:val="bottom"/>
          </w:tcPr>
          <w:p>
            <w:pPr>
              <w:ind w:left="120"/>
              <w:spacing w:after="0"/>
              <w:rPr>
                <w:sz w:val="20"/>
                <w:szCs w:val="20"/>
                <w:color w:val="auto"/>
              </w:rPr>
            </w:pPr>
            <w:r>
              <w:rPr>
                <w:rFonts w:ascii="Arial" w:cs="Arial" w:eastAsia="Arial" w:hAnsi="Arial"/>
                <w:sz w:val="18"/>
                <w:szCs w:val="18"/>
                <w:color w:val="auto"/>
              </w:rPr>
              <w:t>Amendment/Supplement</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5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ARTICLE VII</w:t>
            </w:r>
          </w:p>
        </w:tc>
        <w:tc>
          <w:tcPr>
            <w:tcW w:w="7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0"/>
                <w:szCs w:val="20"/>
                <w:color w:val="auto"/>
              </w:rPr>
            </w:pPr>
            <w:r>
              <w:rPr>
                <w:rFonts w:ascii="Arial" w:cs="Arial" w:eastAsia="Arial" w:hAnsi="Arial"/>
                <w:sz w:val="18"/>
                <w:szCs w:val="18"/>
                <w:color w:val="auto"/>
              </w:rPr>
              <w:t>MISCELLANEOUS</w:t>
            </w:r>
          </w:p>
        </w:tc>
        <w:tc>
          <w:tcPr>
            <w:tcW w:w="75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5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580" w:type="dxa"/>
            <w:vAlign w:val="bottom"/>
          </w:tcPr>
          <w:p>
            <w:pPr>
              <w:ind w:left="120"/>
              <w:spacing w:after="0"/>
              <w:rPr>
                <w:sz w:val="20"/>
                <w:szCs w:val="20"/>
                <w:color w:val="auto"/>
              </w:rPr>
            </w:pPr>
            <w:r>
              <w:rPr>
                <w:rFonts w:ascii="Arial" w:cs="Arial" w:eastAsia="Arial" w:hAnsi="Arial"/>
                <w:sz w:val="18"/>
                <w:szCs w:val="18"/>
                <w:color w:val="auto"/>
              </w:rPr>
              <w:t>No Third Party Beneficiaries/Acknowledgments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5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580" w:type="dxa"/>
            <w:vAlign w:val="bottom"/>
          </w:tcPr>
          <w:p>
            <w:pPr>
              <w:ind w:left="120"/>
              <w:spacing w:after="0"/>
              <w:rPr>
                <w:sz w:val="20"/>
                <w:szCs w:val="20"/>
                <w:color w:val="auto"/>
              </w:rPr>
            </w:pPr>
            <w:r>
              <w:rPr>
                <w:rFonts w:ascii="Arial" w:cs="Arial" w:eastAsia="Arial" w:hAnsi="Arial"/>
                <w:sz w:val="18"/>
                <w:szCs w:val="18"/>
                <w:color w:val="auto"/>
              </w:rPr>
              <w:t>Holders and Beneficial Owners as Parties; Binding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580" w:type="dxa"/>
            <w:vAlign w:val="bottom"/>
          </w:tcPr>
          <w:p>
            <w:pPr>
              <w:ind w:left="12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5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5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580" w:type="dxa"/>
            <w:vAlign w:val="bottom"/>
          </w:tcPr>
          <w:p>
            <w:pPr>
              <w:ind w:left="120"/>
              <w:spacing w:after="0"/>
              <w:rPr>
                <w:sz w:val="20"/>
                <w:szCs w:val="20"/>
                <w:color w:val="auto"/>
              </w:rPr>
            </w:pPr>
            <w:r>
              <w:rPr>
                <w:rFonts w:ascii="Arial" w:cs="Arial" w:eastAsia="Arial" w:hAnsi="Arial"/>
                <w:sz w:val="18"/>
                <w:szCs w:val="18"/>
                <w:color w:val="auto"/>
              </w:rPr>
              <w:t>Compliance with, and No Disclaimer under, U.S. Securities Laws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580" w:type="dxa"/>
            <w:vAlign w:val="bottom"/>
          </w:tcPr>
          <w:p>
            <w:pPr>
              <w:ind w:left="120"/>
              <w:spacing w:after="0"/>
              <w:rPr>
                <w:sz w:val="20"/>
                <w:szCs w:val="20"/>
                <w:color w:val="auto"/>
              </w:rPr>
            </w:pPr>
            <w:r>
              <w:rPr>
                <w:rFonts w:ascii="Arial" w:cs="Arial" w:eastAsia="Arial" w:hAnsi="Arial"/>
                <w:sz w:val="18"/>
                <w:szCs w:val="18"/>
                <w:color w:val="auto"/>
              </w:rPr>
              <w:t>English Law References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580" w:type="dxa"/>
            <w:vAlign w:val="bottom"/>
          </w:tcPr>
          <w:p>
            <w:pPr>
              <w:ind w:left="120"/>
              <w:spacing w:after="0"/>
              <w:rPr>
                <w:sz w:val="20"/>
                <w:szCs w:val="20"/>
                <w:color w:val="auto"/>
              </w:rPr>
            </w:pPr>
            <w:r>
              <w:rPr>
                <w:rFonts w:ascii="Arial" w:cs="Arial" w:eastAsia="Arial" w:hAnsi="Arial"/>
                <w:sz w:val="18"/>
                <w:szCs w:val="18"/>
                <w:color w:val="auto"/>
              </w:rPr>
              <w:t>Titles and References</w:t>
            </w: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620" w:type="dxa"/>
            <w:vAlign w:val="bottom"/>
          </w:tcPr>
          <w:p>
            <w:pPr>
              <w:ind w:left="360"/>
              <w:spacing w:after="0"/>
              <w:rPr>
                <w:sz w:val="20"/>
                <w:szCs w:val="20"/>
                <w:color w:val="auto"/>
              </w:rPr>
            </w:pPr>
            <w:r>
              <w:rPr>
                <w:rFonts w:ascii="Arial" w:cs="Arial" w:eastAsia="Arial" w:hAnsi="Arial"/>
                <w:sz w:val="18"/>
                <w:szCs w:val="18"/>
                <w:color w:val="auto"/>
              </w:rPr>
              <w:t>EXHIBITS</w:t>
            </w:r>
          </w:p>
        </w:tc>
        <w:tc>
          <w:tcPr>
            <w:tcW w:w="7580" w:type="dxa"/>
            <w:vAlign w:val="bottom"/>
            <w:vMerge w:val="restart"/>
          </w:tcPr>
          <w:p>
            <w:pPr>
              <w:ind w:left="120"/>
              <w:spacing w:after="0"/>
              <w:rPr>
                <w:sz w:val="20"/>
                <w:szCs w:val="20"/>
                <w:color w:val="auto"/>
              </w:rPr>
            </w:pPr>
            <w:r>
              <w:rPr>
                <w:rFonts w:ascii="Arial" w:cs="Arial" w:eastAsia="Arial" w:hAnsi="Arial"/>
                <w:sz w:val="18"/>
                <w:szCs w:val="18"/>
                <w:color w:val="auto"/>
              </w:rPr>
              <w:t>Form of ADR</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75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Fee Schedule</w:t>
            </w:r>
          </w:p>
        </w:tc>
        <w:tc>
          <w:tcPr>
            <w:tcW w:w="1760" w:type="dxa"/>
            <w:vAlign w:val="bottom"/>
          </w:tcPr>
          <w:p>
            <w:pPr>
              <w:jc w:val="right"/>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AGREEMENT</w:t>
      </w:r>
    </w:p>
    <w:p>
      <w:pPr>
        <w:spacing w:after="0" w:line="221"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2020, by and among (i) PURETECH HEALTH PLC, a public limited company incorporated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England and Wales,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39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WITNESSETH</w:t>
        <w:tab/>
        <w:t>THAT</w:t>
      </w:r>
      <w:r>
        <w:rPr>
          <w:rFonts w:ascii="Arial" w:cs="Arial" w:eastAsia="Arial" w:hAnsi="Arial"/>
          <w:sz w:val="18"/>
          <w:szCs w:val="18"/>
          <w:color w:val="auto"/>
        </w:rPr>
        <w:t>:</w:t>
      </w:r>
    </w:p>
    <w:p>
      <w:pPr>
        <w:spacing w:after="0" w:line="225" w:lineRule="exact"/>
        <w:rPr>
          <w:sz w:val="20"/>
          <w:szCs w:val="20"/>
          <w:color w:val="auto"/>
        </w:rPr>
      </w:pPr>
    </w:p>
    <w:p>
      <w:pPr>
        <w:jc w:val="both"/>
        <w:ind w:right="600" w:firstLine="440"/>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desires to establish with the Depositary an ADR facility to provide for the deposit of the Shares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2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Shares are admitted to trading on the main market of the London Stock Exchange plc, and American Depositary Shares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pursuant to the terms of the Deposit Agreement are to be listed for trading on Nasdaq; and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(or an authorized committee thereof) has duly approved the establishment of an ADR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terms set forth in the Deposit Agreement, the execution and delivery of the Deposit Agreement on behalf of the Company, and the actions of the Company and the transactions contemplated hereby.</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400" w:name="page401"/>
    <w:bookmarkEnd w:id="40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ADS Record Date</w:t>
      </w:r>
      <w:r>
        <w:rPr>
          <w:rFonts w:ascii="Arial" w:cs="Arial" w:eastAsia="Arial" w:hAnsi="Arial"/>
          <w:sz w:val="18"/>
          <w:szCs w:val="18"/>
          <w:color w:val="auto"/>
        </w:rPr>
        <w:t>” shall have the meaning given to such term in Section 4.9.</w:t>
      </w:r>
    </w:p>
    <w:p>
      <w:pPr>
        <w:spacing w:after="0" w:line="225"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(as hereinafter defined), or under any successor regulation thereto.</w:t>
      </w:r>
    </w:p>
    <w:p>
      <w:pPr>
        <w:spacing w:after="0" w:line="162" w:lineRule="exact"/>
        <w:rPr>
          <w:sz w:val="20"/>
          <w:szCs w:val="20"/>
          <w:color w:val="auto"/>
        </w:rPr>
      </w:pPr>
    </w:p>
    <w:p>
      <w:pPr>
        <w:jc w:val="both"/>
        <w:ind w:left="4" w:right="240" w:firstLine="440"/>
        <w:spacing w:after="0" w:line="303"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Receipt(s)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ADR(s)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Receipt(s)</w:t>
      </w:r>
      <w:r>
        <w:rPr>
          <w:rFonts w:ascii="Arial" w:cs="Arial" w:eastAsia="Arial" w:hAnsi="Arial"/>
          <w:sz w:val="16"/>
          <w:szCs w:val="16"/>
          <w:color w:val="auto"/>
        </w:rPr>
        <w:t>” shall mean the certificate(s) issued by the Depositary to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51"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Property (as hereinafter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left="4" w:right="80" w:hanging="4"/>
        <w:spacing w:after="0" w:line="285" w:lineRule="auto"/>
        <w:tabs>
          <w:tab w:leader="none" w:pos="24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Articles of Association</w:t>
      </w:r>
      <w:r>
        <w:rPr>
          <w:rFonts w:ascii="Arial" w:cs="Arial" w:eastAsia="Arial" w:hAnsi="Arial"/>
          <w:sz w:val="17"/>
          <w:szCs w:val="17"/>
          <w:color w:val="auto"/>
        </w:rPr>
        <w:t>” shall mean the Articles of Association of the Company, as amended and restated from time to time.</w:t>
      </w:r>
    </w:p>
    <w:p>
      <w:pPr>
        <w:spacing w:after="0" w:line="237"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Beneficial Owner</w:t>
      </w:r>
      <w:r>
        <w:rPr>
          <w:rFonts w:ascii="Arial" w:cs="Arial" w:eastAsia="Arial" w:hAnsi="Arial"/>
          <w:sz w:val="17"/>
          <w:szCs w:val="17"/>
          <w:color w:val="auto"/>
        </w:rPr>
        <w:t>” shall mean, as to any ADS, any person or entity having a beneficial interest deriving from the ownership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401" w:name="page402"/>
    <w:bookmarkEnd w:id="40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1.7 “</w:t>
      </w:r>
      <w:r>
        <w:rPr>
          <w:rFonts w:ascii="Arial" w:cs="Arial" w:eastAsia="Arial" w:hAnsi="Arial"/>
          <w:sz w:val="18"/>
          <w:szCs w:val="18"/>
          <w:b w:val="1"/>
          <w:bCs w:val="1"/>
          <w:u w:val="single" w:color="auto"/>
          <w:color w:val="auto"/>
        </w:rPr>
        <w:t>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successors.</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shall mean PureTech Health plc, a public limited company incorporated and existing under the laws of England and</w:t>
      </w:r>
      <w:r>
        <w:rPr>
          <w:rFonts w:ascii="Arial" w:cs="Arial" w:eastAsia="Arial" w:hAnsi="Arial"/>
          <w:sz w:val="18"/>
          <w:szCs w:val="18"/>
          <w:b w:val="1"/>
          <w:bCs w:val="1"/>
          <w:color w:val="auto"/>
        </w:rPr>
        <w:t xml:space="preserve"> </w:t>
      </w:r>
      <w:r>
        <w:rPr>
          <w:rFonts w:ascii="Arial" w:cs="Arial" w:eastAsia="Arial" w:hAnsi="Arial"/>
          <w:sz w:val="18"/>
          <w:szCs w:val="18"/>
          <w:color w:val="auto"/>
        </w:rPr>
        <w:t>Wales, and its successors.</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CREST</w:t>
      </w:r>
      <w:r>
        <w:rPr>
          <w:rFonts w:ascii="Arial" w:cs="Arial" w:eastAsia="Arial" w:hAnsi="Arial"/>
          <w:sz w:val="18"/>
          <w:szCs w:val="18"/>
          <w:color w:val="auto"/>
        </w:rPr>
        <w:t>” 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CREST Limited in accordance with the Uncertificated Securities Regulations 2001 (SI 2001 No. 3755), as amended from time to time, or any successor thereto.</w:t>
      </w:r>
    </w:p>
    <w:p>
      <w:pPr>
        <w:spacing w:after="0" w:line="176"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Custodian</w:t>
      </w:r>
      <w:r>
        <w:rPr>
          <w:rFonts w:ascii="Arial" w:cs="Arial" w:eastAsia="Arial" w:hAnsi="Arial"/>
          <w:sz w:val="18"/>
          <w:szCs w:val="18"/>
          <w:color w:val="auto"/>
        </w:rPr>
        <w:t>” shall mean (i) as of the date hereof, Citibank, N.A. (London), having its principal office at Citigroup Centre, Canary</w:t>
      </w:r>
      <w:r>
        <w:rPr>
          <w:rFonts w:ascii="Arial" w:cs="Arial" w:eastAsia="Arial" w:hAnsi="Arial"/>
          <w:sz w:val="18"/>
          <w:szCs w:val="18"/>
          <w:b w:val="1"/>
          <w:bCs w:val="1"/>
          <w:color w:val="auto"/>
        </w:rPr>
        <w:t xml:space="preserve"> </w:t>
      </w:r>
      <w:r>
        <w:rPr>
          <w:rFonts w:ascii="Arial" w:cs="Arial" w:eastAsia="Arial" w:hAnsi="Arial"/>
          <w:sz w:val="18"/>
          <w:szCs w:val="18"/>
          <w:color w:val="auto"/>
        </w:rPr>
        <w:t>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270" w:right="579" w:bottom="1440" w:gutter="0" w:footer="0" w:header="0"/>
        </w:sectPr>
      </w:pPr>
    </w:p>
    <w:bookmarkStart w:id="402" w:name="page403"/>
    <w:bookmarkEnd w:id="402"/>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Deliver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shall mean (x)</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when used in respect of Shares and other Deposited Securities</w:t>
      </w:r>
      <w:r>
        <w:rPr>
          <w:rFonts w:ascii="Arial" w:cs="Arial" w:eastAsia="Arial" w:hAnsi="Arial"/>
          <w:sz w:val="16"/>
          <w:szCs w:val="16"/>
          <w:color w:val="auto"/>
        </w:rPr>
        <w:t>, whichever is appropriate of</w:t>
      </w:r>
    </w:p>
    <w:p>
      <w:pPr>
        <w:spacing w:after="0" w:line="50" w:lineRule="exact"/>
        <w:rPr>
          <w:sz w:val="20"/>
          <w:szCs w:val="20"/>
          <w:color w:val="auto"/>
        </w:rPr>
      </w:pPr>
    </w:p>
    <w:p>
      <w:pPr>
        <w:ind w:left="4" w:right="20" w:hanging="4"/>
        <w:spacing w:after="0" w:line="253" w:lineRule="auto"/>
        <w:tabs>
          <w:tab w:leader="none" w:pos="21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the physical delivery of the certificate(s) representing such securities, or (ii) the book-entry transfer and recordation of such securities on the books of the Share Registrar (as hereinafter defined) or in the book-entry settlement of CREST,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9"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depositary under the terms of the Deposit Agreement, and any successor depositary hereunder.</w:t>
      </w:r>
    </w:p>
    <w:p>
      <w:pPr>
        <w:spacing w:after="0" w:line="162" w:lineRule="exact"/>
        <w:rPr>
          <w:sz w:val="20"/>
          <w:szCs w:val="20"/>
          <w:color w:val="auto"/>
        </w:rPr>
      </w:pPr>
    </w:p>
    <w:p>
      <w:pPr>
        <w:ind w:left="4" w:right="200" w:firstLine="440"/>
        <w:spacing w:after="0" w:line="294" w:lineRule="auto"/>
        <w:rPr>
          <w:sz w:val="20"/>
          <w:szCs w:val="20"/>
          <w:color w:val="auto"/>
        </w:rPr>
      </w:pPr>
      <w:r>
        <w:rPr>
          <w:rFonts w:ascii="Arial" w:cs="Arial" w:eastAsia="Arial" w:hAnsi="Arial"/>
          <w:sz w:val="16"/>
          <w:szCs w:val="16"/>
          <w:b w:val="1"/>
          <w:bCs w:val="1"/>
          <w:color w:val="auto"/>
        </w:rPr>
        <w:t>Section 1.16 “</w:t>
      </w:r>
      <w:r>
        <w:rPr>
          <w:rFonts w:ascii="Arial" w:cs="Arial" w:eastAsia="Arial" w:hAnsi="Arial"/>
          <w:sz w:val="16"/>
          <w:szCs w:val="16"/>
          <w:b w:val="1"/>
          <w:bCs w:val="1"/>
          <w:u w:val="single" w:color="auto"/>
          <w:color w:val="auto"/>
        </w:rPr>
        <w:t>Deposited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Deposited Securities and any cash and other property held on deposit by the Depositary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60"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Section 1.17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ADSs under the Deposit Agreement and constituting Deposited Property.</w:t>
      </w:r>
    </w:p>
    <w:p>
      <w:pPr>
        <w:spacing w:after="0" w:line="162" w:lineRule="exact"/>
        <w:rPr>
          <w:sz w:val="20"/>
          <w:szCs w:val="20"/>
          <w:color w:val="auto"/>
        </w:rPr>
      </w:pPr>
    </w:p>
    <w:p>
      <w:pPr>
        <w:ind w:left="4" w:right="220" w:firstLine="440"/>
        <w:spacing w:after="0" w:line="347" w:lineRule="auto"/>
        <w:rPr>
          <w:sz w:val="20"/>
          <w:szCs w:val="20"/>
          <w:color w:val="auto"/>
        </w:rPr>
      </w:pPr>
      <w:r>
        <w:rPr>
          <w:rFonts w:ascii="Arial" w:cs="Arial" w:eastAsia="Arial" w:hAnsi="Arial"/>
          <w:sz w:val="16"/>
          <w:szCs w:val="16"/>
          <w:b w:val="1"/>
          <w:bCs w:val="1"/>
          <w:color w:val="auto"/>
        </w:rPr>
        <w:t xml:space="preserve">Section 1.18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Disclosure Guidence and Transparency Rules” or “DTRs”</w:t>
      </w:r>
      <w:r>
        <w:rPr>
          <w:rFonts w:ascii="Arial" w:cs="Arial" w:eastAsia="Arial" w:hAnsi="Arial"/>
          <w:sz w:val="16"/>
          <w:szCs w:val="16"/>
          <w:color w:val="auto"/>
        </w:rPr>
        <w:t>shall mean the Disclosure Guidence and Transparency Rules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Kingdom Financial Conduct Authority (or any successor), as amended, replaced and re-enacted or supplemented from time to time.</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shall refer to the lawful currency of the United States.</w:t>
      </w:r>
    </w:p>
    <w:p>
      <w:pPr>
        <w:spacing w:after="0" w:line="225"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03" w:name="page404"/>
    <w:bookmarkEnd w:id="403"/>
    <w:p>
      <w:pPr>
        <w:ind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shall mean the United States Securities Exchange Act of 1934,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Currency</w:t>
      </w:r>
      <w:r>
        <w:rPr>
          <w:rFonts w:ascii="Arial" w:cs="Arial" w:eastAsia="Arial" w:hAnsi="Arial"/>
          <w:sz w:val="18"/>
          <w:szCs w:val="18"/>
          <w:color w:val="auto"/>
        </w:rPr>
        <w:t>” shall mean any currency other than Dollars.</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color w:val="auto"/>
        </w:rPr>
        <w:t xml:space="preserve">Section 1.25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54"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Section 1.26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Pounds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Pence</w:t>
      </w:r>
      <w:r>
        <w:rPr>
          <w:rFonts w:ascii="Arial" w:cs="Arial" w:eastAsia="Arial" w:hAnsi="Arial"/>
          <w:sz w:val="18"/>
          <w:szCs w:val="18"/>
          <w:color w:val="auto"/>
        </w:rPr>
        <w:t>”,</w:t>
      </w:r>
      <w:r>
        <w:rPr>
          <w:rFonts w:ascii="Arial" w:cs="Arial" w:eastAsia="Arial" w:hAnsi="Arial"/>
          <w:sz w:val="18"/>
          <w:szCs w:val="18"/>
          <w:b w:val="1"/>
          <w:bCs w:val="1"/>
          <w:color w:val="auto"/>
        </w:rPr>
        <w:t xml:space="preserve"> and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shall refer to the lawful currency of England.</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 xml:space="preserve">Section 1.29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404" w:name="page405"/>
    <w:bookmarkEnd w:id="404"/>
    <w:p>
      <w:pPr>
        <w:ind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1.30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Securities</w:t>
      </w:r>
      <w:r>
        <w:rPr>
          <w:rFonts w:ascii="Arial" w:cs="Arial" w:eastAsia="Arial" w:hAnsi="Arial"/>
          <w:sz w:val="16"/>
          <w:szCs w:val="16"/>
          <w:color w:val="auto"/>
        </w:rPr>
        <w:t>” shall mean Shares, Deposited Securities or ADSs which (i) have been acquired directly or indirectly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and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 2.14.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shall mean the United States Securities Act of 1933, as amended from time to time.</w:t>
      </w:r>
    </w:p>
    <w:p>
      <w:pPr>
        <w:spacing w:after="0" w:line="225"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 Registrar</w:t>
      </w:r>
      <w:r>
        <w:rPr>
          <w:rFonts w:ascii="Arial" w:cs="Arial" w:eastAsia="Arial" w:hAnsi="Arial"/>
          <w:sz w:val="18"/>
          <w:szCs w:val="18"/>
          <w:color w:val="auto"/>
        </w:rPr>
        <w:t>” shall mean Computershare Investor Services PLC, a company registered in England and Wales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organized under the laws of England and Wales appointed by the Company from time to time to carry out the duties of registrar for the Shares, and any successor thereto.</w:t>
      </w:r>
    </w:p>
    <w:p>
      <w:pPr>
        <w:spacing w:after="0" w:line="176"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b w:val="1"/>
          <w:bCs w:val="1"/>
          <w:color w:val="auto"/>
        </w:rPr>
        <w:t xml:space="preserve">Section 1.34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mean the Company’s ordinary shares, with a nominal value of £0.01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paid 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1.35 “</w:t>
      </w:r>
      <w:r>
        <w:rPr>
          <w:rFonts w:ascii="Arial" w:cs="Arial" w:eastAsia="Arial" w:hAnsi="Arial"/>
          <w:sz w:val="18"/>
          <w:szCs w:val="18"/>
          <w:b w:val="1"/>
          <w:bCs w:val="1"/>
          <w:u w:val="single" w:color="auto"/>
          <w:color w:val="auto"/>
        </w:rPr>
        <w:t>Uncertificated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0" w:right="519" w:bottom="1440" w:gutter="0" w:footer="0" w:header="0"/>
        </w:sectPr>
      </w:pPr>
    </w:p>
    <w:bookmarkStart w:id="405" w:name="page406"/>
    <w:bookmarkEnd w:id="405"/>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APPOINTMENT OF DEPOSITARY; FORM OF RECEIPTS;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DELIVERY, TRANSFER AND SURRENDER OF RECEIPTS</w:t>
      </w:r>
    </w:p>
    <w:p>
      <w:pPr>
        <w:spacing w:after="0" w:line="20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Form and Transferability of ADSs</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436"/>
        <w:spacing w:after="0" w:line="287" w:lineRule="auto"/>
        <w:tabs>
          <w:tab w:leader="none" w:pos="695"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63" w:lineRule="exact"/>
        <w:rPr>
          <w:rFonts w:ascii="Arial" w:cs="Arial" w:eastAsia="Arial" w:hAnsi="Arial"/>
          <w:sz w:val="16"/>
          <w:szCs w:val="16"/>
          <w:b w:val="1"/>
          <w:bCs w:val="1"/>
          <w:color w:val="auto"/>
        </w:rPr>
      </w:pPr>
    </w:p>
    <w:p>
      <w:pPr>
        <w:ind w:firstLine="436"/>
        <w:spacing w:after="0" w:line="272" w:lineRule="auto"/>
        <w:tabs>
          <w:tab w:leader="none" w:pos="705"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ADRs may be endorsed with, or have incorporated in the text thereof, such legends or recitals not inconsistent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06" w:name="page407"/>
    <w:bookmarkEnd w:id="406"/>
    <w:p>
      <w:pPr>
        <w:ind w:left="-40" w:firstLine="436"/>
        <w:spacing w:after="0" w:line="272" w:lineRule="auto"/>
        <w:tabs>
          <w:tab w:leader="none" w:pos="645"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herein and in the ADR, title to an ADR (and to each Certificated ADS evidenced thereby)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71" w:lineRule="exact"/>
        <w:rPr>
          <w:rFonts w:ascii="Arial" w:cs="Arial" w:eastAsia="Arial" w:hAnsi="Arial"/>
          <w:sz w:val="17"/>
          <w:szCs w:val="17"/>
          <w:b w:val="1"/>
          <w:bCs w:val="1"/>
          <w:color w:val="auto"/>
        </w:rPr>
      </w:pPr>
    </w:p>
    <w:p>
      <w:pPr>
        <w:ind w:left="-40" w:right="60" w:firstLine="436"/>
        <w:spacing w:after="0" w:line="285" w:lineRule="auto"/>
        <w:tabs>
          <w:tab w:leader="none" w:pos="665"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registered in the name of the nominee for DTC (currently “</w:t>
      </w:r>
      <w:r>
        <w:rPr>
          <w:rFonts w:ascii="Arial" w:cs="Arial" w:eastAsia="Arial" w:hAnsi="Arial"/>
          <w:sz w:val="16"/>
          <w:szCs w:val="16"/>
          <w:u w:val="single" w:color="auto"/>
          <w:color w:val="auto"/>
        </w:rPr>
        <w:t>Cede &amp; Co.</w:t>
      </w:r>
      <w:r>
        <w:rPr>
          <w:rFonts w:ascii="Arial" w:cs="Arial" w:eastAsia="Arial" w:hAnsi="Arial"/>
          <w:sz w:val="16"/>
          <w:szCs w:val="16"/>
          <w:color w:val="auto"/>
        </w:rPr>
        <w:t>”). The nominee of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80" w:top="270" w:right="479" w:bottom="1440" w:gutter="0" w:footer="0" w:header="0"/>
        </w:sectPr>
      </w:pPr>
    </w:p>
    <w:bookmarkStart w:id="407" w:name="page408"/>
    <w:bookmarkEnd w:id="407"/>
    <w:p>
      <w:pPr>
        <w:ind w:left="4" w:right="10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w:t>
      </w:r>
    </w:p>
    <w:p>
      <w:pPr>
        <w:spacing w:after="0" w:line="2" w:lineRule="exact"/>
        <w:rPr>
          <w:sz w:val="20"/>
          <w:szCs w:val="20"/>
          <w:color w:val="auto"/>
        </w:rPr>
      </w:pPr>
    </w:p>
    <w:p>
      <w:pPr>
        <w:ind w:left="4" w:hanging="4"/>
        <w:spacing w:after="0" w:line="266" w:lineRule="auto"/>
        <w:tabs>
          <w:tab w:leader="none" w:pos="29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in the case of Shares represented by certificates issued in registered form</w:t>
      </w:r>
      <w:r>
        <w:rPr>
          <w:rFonts w:ascii="Arial" w:cs="Arial" w:eastAsia="Arial" w:hAnsi="Arial"/>
          <w:sz w:val="17"/>
          <w:szCs w:val="17"/>
          <w:color w:val="auto"/>
        </w:rPr>
        <w:t xml:space="preserve">, the certificate(s) representing such Shares and, where relevant, appropriate instruments of transfer or endorsement, in a form reasonably satisfactory to the Custodian, (ii) </w:t>
      </w:r>
      <w:r>
        <w:rPr>
          <w:rFonts w:ascii="Arial" w:cs="Arial" w:eastAsia="Arial" w:hAnsi="Arial"/>
          <w:sz w:val="17"/>
          <w:szCs w:val="17"/>
          <w:i w:val="1"/>
          <w:iCs w:val="1"/>
          <w:color w:val="auto"/>
        </w:rPr>
        <w:t>in the case of Shares represented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certificates in bearer form, </w:t>
      </w:r>
      <w:r>
        <w:rPr>
          <w:rFonts w:ascii="Arial" w:cs="Arial" w:eastAsia="Arial" w:hAnsi="Arial"/>
          <w:sz w:val="17"/>
          <w:szCs w:val="17"/>
          <w:color w:val="auto"/>
        </w:rPr>
        <w:t>the requisite coupons and talons pertaining thereto, and (iii)</w:t>
      </w:r>
      <w:r>
        <w:rPr>
          <w:rFonts w:ascii="Arial" w:cs="Arial" w:eastAsia="Arial" w:hAnsi="Arial"/>
          <w:sz w:val="17"/>
          <w:szCs w:val="17"/>
          <w:i w:val="1"/>
          <w:iCs w:val="1"/>
          <w:color w:val="auto"/>
        </w:rPr>
        <w:t xml:space="preserve"> in the case of Shares delivered by book-entry transfer and recordation</w:t>
      </w:r>
      <w:r>
        <w:rPr>
          <w:rFonts w:ascii="Arial" w:cs="Arial" w:eastAsia="Arial" w:hAnsi="Arial"/>
          <w:sz w:val="17"/>
          <w:szCs w:val="17"/>
          <w:color w:val="auto"/>
        </w:rPr>
        <w:t>, confirmation of such book-entry transfer and recordation in the books of the Share Registrar or of CREST, as applicable, to the Custodian</w:t>
      </w:r>
      <w:r>
        <w:rPr>
          <w:rFonts w:ascii="Arial" w:cs="Arial" w:eastAsia="Arial" w:hAnsi="Arial"/>
          <w:sz w:val="17"/>
          <w:szCs w:val="17"/>
          <w:i w:val="1"/>
          <w:iCs w:val="1"/>
          <w:color w:val="auto"/>
        </w:rPr>
        <w:t xml:space="preserve"> </w:t>
      </w:r>
      <w:r>
        <w:rPr>
          <w:rFonts w:ascii="Arial" w:cs="Arial" w:eastAsia="Arial" w:hAnsi="Arial"/>
          <w:sz w:val="17"/>
          <w:szCs w:val="17"/>
          <w:color w:val="auto"/>
        </w:rPr>
        <w:t>or that irrevocable instructions have been given to cause such Shares to be so 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9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0" w:right="499" w:bottom="1440" w:gutter="0" w:footer="0" w:header="0"/>
        </w:sectPr>
      </w:pPr>
    </w:p>
    <w:bookmarkStart w:id="408" w:name="page409"/>
    <w:bookmarkEnd w:id="408"/>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or English law.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09" w:name="page410"/>
    <w:bookmarkEnd w:id="409"/>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w:t>
      </w:r>
      <w:r>
        <w:rPr>
          <w:rFonts w:ascii="Arial" w:cs="Arial" w:eastAsia="Arial" w:hAnsi="Arial"/>
          <w:sz w:val="17"/>
          <w:szCs w:val="17"/>
          <w:b w:val="1"/>
          <w:bCs w:val="1"/>
          <w:u w:val="single" w:color="auto"/>
          <w:color w:val="auto"/>
        </w:rPr>
        <w:t>Issuance of ADSs.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made arrangements with the Custodian for the Custodian to confirm to the Depositary upon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18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Company and the Depositary hereby understand and agree that Restricted ADSs may be issued by the Depositary prior to the effective date of Registration Statement on Form F-6; however, freely transferable ADSs may not be issued by the Depositary until the applicable Registration Statement on Form F-6 is declared effective by the Commission.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Transfer, Combination and Split-up of ADRs</w:t>
      </w:r>
      <w:r>
        <w:rPr>
          <w:rFonts w:ascii="Arial" w:cs="Arial" w:eastAsia="Arial" w:hAnsi="Arial"/>
          <w:sz w:val="18"/>
          <w:szCs w:val="18"/>
          <w:b w:val="1"/>
          <w:bCs w:val="1"/>
          <w:color w:val="auto"/>
        </w:rPr>
        <w:t>.</w:t>
      </w:r>
    </w:p>
    <w:p>
      <w:pPr>
        <w:spacing w:after="0" w:line="225" w:lineRule="exact"/>
        <w:rPr>
          <w:sz w:val="20"/>
          <w:szCs w:val="20"/>
          <w:color w:val="auto"/>
        </w:rPr>
      </w:pPr>
    </w:p>
    <w:p>
      <w:pPr>
        <w:ind w:firstLine="436"/>
        <w:spacing w:after="0" w:line="284" w:lineRule="auto"/>
        <w:tabs>
          <w:tab w:leader="none" w:pos="695"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w:t>
      </w:r>
    </w:p>
    <w:p>
      <w:pPr>
        <w:spacing w:after="0" w:line="4" w:lineRule="exact"/>
        <w:rPr>
          <w:rFonts w:ascii="Arial" w:cs="Arial" w:eastAsia="Arial" w:hAnsi="Arial"/>
          <w:sz w:val="16"/>
          <w:szCs w:val="16"/>
          <w:b w:val="1"/>
          <w:bCs w:val="1"/>
          <w:color w:val="auto"/>
        </w:rPr>
      </w:pPr>
    </w:p>
    <w:p>
      <w:pPr>
        <w:ind w:right="3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 xml:space="preserve">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10" w:name="page411"/>
    <w:bookmarkEnd w:id="410"/>
    <w:p>
      <w:pPr>
        <w:ind w:right="40" w:firstLine="436"/>
        <w:spacing w:after="0" w:line="291" w:lineRule="auto"/>
        <w:tabs>
          <w:tab w:leader="none" w:pos="705"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applicable ADRs, of the Deposit Agreement and of applicable law, in each case as in effect at the time thereof.</w:t>
      </w:r>
    </w:p>
    <w:p>
      <w:pPr>
        <w:spacing w:after="0" w:line="15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ADSs shall be entitled to Delivery (at the Custodian’s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w:t>
      </w:r>
      <w:r>
        <w:rPr>
          <w:rFonts w:ascii="Arial" w:cs="Arial" w:eastAsia="Arial" w:hAnsi="Arial"/>
          <w:sz w:val="17"/>
          <w:szCs w:val="17"/>
          <w:color w:val="auto"/>
        </w:rPr>
        <w:t xml:space="preserve"> </w:t>
      </w:r>
      <w:r>
        <w:rPr>
          <w:rFonts w:ascii="Arial" w:cs="Arial" w:eastAsia="Arial" w:hAnsi="Arial"/>
          <w:sz w:val="17"/>
          <w:szCs w:val="17"/>
          <w:i w:val="1"/>
          <w:iCs w:val="1"/>
          <w:color w:val="auto"/>
        </w:rPr>
        <w:t>case</w:t>
      </w:r>
      <w:r>
        <w:rPr>
          <w:rFonts w:ascii="Arial" w:cs="Arial" w:eastAsia="Arial" w:hAnsi="Arial"/>
          <w:sz w:val="17"/>
          <w:szCs w:val="17"/>
          <w:color w:val="auto"/>
        </w:rPr>
        <w:t>, to the terms and conditions of the ADRs evidencing the surrendered ADSs, of the Deposit Agreement, of the Company’s Articles of Association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of any applicable laws and the rules of CREST, and to any provisions of or governing the Deposited Securities, in each case as in effect at the time thereof.</w:t>
      </w:r>
    </w:p>
    <w:p>
      <w:pPr>
        <w:spacing w:after="0" w:line="183"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11" w:name="page412"/>
    <w:bookmarkEnd w:id="411"/>
    <w:p>
      <w:pPr>
        <w:ind w:left="4" w:right="10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78"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left="4" w:firstLine="436"/>
        <w:spacing w:after="0" w:line="285" w:lineRule="auto"/>
        <w:tabs>
          <w:tab w:leader="none" w:pos="699" w:val="left"/>
        </w:tabs>
        <w:numPr>
          <w:ilvl w:val="1"/>
          <w:numId w:val="2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w:t>
      </w:r>
    </w:p>
    <w:p>
      <w:pPr>
        <w:spacing w:after="0" w:line="3" w:lineRule="exact"/>
        <w:rPr>
          <w:rFonts w:ascii="Arial" w:cs="Arial" w:eastAsia="Arial" w:hAnsi="Arial"/>
          <w:sz w:val="16"/>
          <w:szCs w:val="16"/>
          <w:b w:val="1"/>
          <w:bCs w:val="1"/>
          <w:color w:val="auto"/>
        </w:rPr>
      </w:pPr>
    </w:p>
    <w:p>
      <w:pPr>
        <w:jc w:val="both"/>
        <w:ind w:left="4" w:right="640" w:hanging="4"/>
        <w:spacing w:after="0" w:line="255" w:lineRule="auto"/>
        <w:tabs>
          <w:tab w:leader="none" w:pos="31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85" w:lineRule="exact"/>
        <w:rPr>
          <w:rFonts w:ascii="Arial" w:cs="Arial" w:eastAsia="Arial" w:hAnsi="Arial"/>
          <w:sz w:val="18"/>
          <w:szCs w:val="18"/>
          <w:color w:val="auto"/>
        </w:rPr>
      </w:pPr>
    </w:p>
    <w:p>
      <w:pPr>
        <w:ind w:left="4" w:right="60" w:firstLine="436"/>
        <w:spacing w:after="0" w:line="254" w:lineRule="auto"/>
        <w:tabs>
          <w:tab w:leader="none" w:pos="709"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ADSs against deposits of Shares generally or against deposits of particular Shares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412" w:name="page413"/>
    <w:bookmarkEnd w:id="412"/>
    <w:p>
      <w:pPr>
        <w:ind w:firstLine="436"/>
        <w:spacing w:after="0" w:line="274" w:lineRule="auto"/>
        <w:tabs>
          <w:tab w:leader="none" w:pos="685"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3"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 ADR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61"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413" w:name="page414"/>
    <w:bookmarkEnd w:id="413"/>
    <w:p>
      <w:pPr>
        <w:ind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1"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14" w:name="page415"/>
    <w:bookmarkEnd w:id="414"/>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the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w:t>
      </w:r>
    </w:p>
    <w:p>
      <w:pPr>
        <w:spacing w:after="0" w:line="1" w:lineRule="exact"/>
        <w:rPr>
          <w:sz w:val="20"/>
          <w:szCs w:val="20"/>
          <w:color w:val="auto"/>
        </w:rPr>
      </w:pPr>
    </w:p>
    <w:p>
      <w:pPr>
        <w:ind w:left="4" w:hanging="4"/>
        <w:spacing w:after="0" w:line="283" w:lineRule="auto"/>
        <w:tabs>
          <w:tab w:leader="none" w:pos="25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415" w:name="page416"/>
    <w:bookmarkEnd w:id="415"/>
    <w:p>
      <w:pPr>
        <w:ind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416" w:name="page417"/>
    <w:bookmarkEnd w:id="416"/>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CERTAIN OBLIGATIONS OF HOLDERS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AND BENEFICIAL OWNERS OF ADSs</w:t>
      </w:r>
    </w:p>
    <w:p>
      <w:pPr>
        <w:spacing w:after="0" w:line="20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17" w:name="page418"/>
    <w:bookmarkEnd w:id="417"/>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18" w:name="page419"/>
    <w:bookmarkEnd w:id="418"/>
    <w:p>
      <w:pPr>
        <w:ind w:right="8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3.4 </w:t>
      </w: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any ADR(s),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in the Deposit Agreement or any ADR, the Company may restrict</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shall be interpreted as obligating the Depositary or the Company to ensure compliance with the ownership restrictions described in this Section 3.5.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19" w:name="page420"/>
    <w:bookmarkEnd w:id="419"/>
    <w:p>
      <w:pPr>
        <w:ind w:left="4" w:right="4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Arial" w:cs="Arial" w:eastAsia="Arial" w:hAnsi="Arial"/>
          <w:sz w:val="16"/>
          <w:szCs w:val="16"/>
          <w:u w:val="single" w:color="auto"/>
          <w:color w:val="auto"/>
        </w:rPr>
        <w:t>Disclosure Notice</w:t>
      </w:r>
      <w:r>
        <w:rPr>
          <w:rFonts w:ascii="Arial" w:cs="Arial" w:eastAsia="Arial" w:hAnsi="Arial"/>
          <w:sz w:val="16"/>
          <w:szCs w:val="16"/>
          <w:color w:val="auto"/>
        </w:rPr>
        <w:t>”) given pursuant to the U.K. Companies Act 2006 (as amended from time to time and including any statutory modification or re-enactment thereof, the “</w:t>
      </w:r>
      <w:r>
        <w:rPr>
          <w:rFonts w:ascii="Arial" w:cs="Arial" w:eastAsia="Arial" w:hAnsi="Arial"/>
          <w:sz w:val="16"/>
          <w:szCs w:val="16"/>
          <w:u w:val="single" w:color="auto"/>
          <w:color w:val="auto"/>
        </w:rPr>
        <w:t>Companies Act</w:t>
      </w:r>
      <w:r>
        <w:rPr>
          <w:rFonts w:ascii="Arial" w:cs="Arial" w:eastAsia="Arial" w:hAnsi="Arial"/>
          <w:sz w:val="16"/>
          <w:szCs w:val="16"/>
          <w:color w:val="auto"/>
        </w:rPr>
        <w:t xml:space="preserve">”)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 In addition, by accepting or holding an ADR, each Holder and Beneficial Owner agrees to comply with the provisions of the DTRs, which as of the date of this Deposit Agreement provide, </w:t>
      </w:r>
      <w:r>
        <w:rPr>
          <w:rFonts w:ascii="Arial" w:cs="Arial" w:eastAsia="Arial" w:hAnsi="Arial"/>
          <w:sz w:val="16"/>
          <w:szCs w:val="16"/>
          <w:i w:val="1"/>
          <w:iCs w:val="1"/>
          <w:color w:val="auto"/>
        </w:rPr>
        <w:t>inter alia</w:t>
      </w:r>
      <w:r>
        <w:rPr>
          <w:rFonts w:ascii="Arial" w:cs="Arial" w:eastAsia="Arial" w:hAnsi="Arial"/>
          <w:sz w:val="16"/>
          <w:szCs w:val="16"/>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w:t>
      </w:r>
    </w:p>
    <w:p>
      <w:pPr>
        <w:spacing w:after="0" w:line="3" w:lineRule="exact"/>
        <w:rPr>
          <w:sz w:val="20"/>
          <w:szCs w:val="20"/>
          <w:color w:val="auto"/>
        </w:rPr>
      </w:pPr>
    </w:p>
    <w:p>
      <w:pPr>
        <w:ind w:left="264" w:hanging="264"/>
        <w:spacing w:after="0"/>
        <w:tabs>
          <w:tab w:leader="none" w:pos="26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reaches, exceeds or falls below such applicable thresholds as a result of events changing the breakdown of voting rights and on the basis of</w:t>
      </w:r>
    </w:p>
    <w:p>
      <w:pPr>
        <w:spacing w:after="0" w:line="20" w:lineRule="exact"/>
        <w:rPr>
          <w:rFonts w:ascii="Arial" w:cs="Arial" w:eastAsia="Arial" w:hAnsi="Arial"/>
          <w:sz w:val="17"/>
          <w:szCs w:val="17"/>
          <w:color w:val="auto"/>
        </w:rPr>
      </w:pPr>
    </w:p>
    <w:p>
      <w:pPr>
        <w:ind w:left="4" w:right="80"/>
        <w:spacing w:after="0" w:line="273" w:lineRule="auto"/>
        <w:rPr>
          <w:rFonts w:ascii="Arial" w:cs="Arial" w:eastAsia="Arial" w:hAnsi="Arial"/>
          <w:sz w:val="17"/>
          <w:szCs w:val="17"/>
          <w:color w:val="auto"/>
        </w:rPr>
      </w:pPr>
      <w:r>
        <w:rPr>
          <w:rFonts w:ascii="Arial" w:cs="Arial" w:eastAsia="Arial" w:hAnsi="Arial"/>
          <w:sz w:val="17"/>
          <w:szCs w:val="17"/>
          <w:color w:val="auto"/>
        </w:rPr>
        <w:t>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76"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57"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Reporting Obligations and Regulatory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and regulations may require holders and beneficial owners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4"/>
          </w:cols>
          <w:pgMar w:left="436" w:top="274" w:right="49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DEPOSITED SECURITIES</w:t>
      </w:r>
    </w:p>
    <w:p>
      <w:pPr>
        <w:spacing w:after="0" w:line="2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an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any amounts are received in a Foreign Currency,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21" w:name="page422"/>
    <w:bookmarkEnd w:id="421"/>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after consultation with the Company to the extent reasonably practicable,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89" w:lineRule="exact"/>
        <w:rPr>
          <w:sz w:val="20"/>
          <w:szCs w:val="20"/>
          <w:color w:val="auto"/>
        </w:rPr>
      </w:pPr>
    </w:p>
    <w:p>
      <w:pPr>
        <w:ind w:right="20" w:firstLine="440"/>
        <w:spacing w:after="0" w:line="283"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forty-five (45)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422" w:name="page423"/>
    <w:bookmarkEnd w:id="42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4.4 </w:t>
      </w:r>
      <w:r>
        <w:rPr>
          <w:rFonts w:ascii="Arial" w:cs="Arial" w:eastAsia="Arial" w:hAnsi="Arial"/>
          <w:sz w:val="18"/>
          <w:szCs w:val="18"/>
          <w:b w:val="1"/>
          <w:bCs w:val="1"/>
          <w:u w:val="single" w:color="auto"/>
          <w:color w:val="auto"/>
        </w:rPr>
        <w:t>Distribution of Rights to Purchase Additional ADSs</w:t>
      </w:r>
      <w:r>
        <w:rPr>
          <w:rFonts w:ascii="Arial" w:cs="Arial" w:eastAsia="Arial" w:hAnsi="Arial"/>
          <w:sz w:val="18"/>
          <w:szCs w:val="18"/>
          <w:b w:val="1"/>
          <w:bCs w:val="1"/>
          <w:color w:val="auto"/>
        </w:rPr>
        <w:t>.</w:t>
      </w:r>
    </w:p>
    <w:p>
      <w:pPr>
        <w:spacing w:after="0" w:line="225" w:lineRule="exact"/>
        <w:rPr>
          <w:sz w:val="20"/>
          <w:szCs w:val="20"/>
          <w:color w:val="auto"/>
        </w:rPr>
      </w:pPr>
    </w:p>
    <w:p>
      <w:pPr>
        <w:ind w:left="4" w:firstLine="436"/>
        <w:spacing w:after="0" w:line="283" w:lineRule="auto"/>
        <w:tabs>
          <w:tab w:leader="none" w:pos="699" w:val="left"/>
        </w:tabs>
        <w:numPr>
          <w:ilvl w:val="1"/>
          <w:numId w:val="2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notice thereof to the Depositary at least forty-five (45)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w:t>
      </w:r>
    </w:p>
    <w:p>
      <w:pPr>
        <w:spacing w:after="0" w:line="6" w:lineRule="exact"/>
        <w:rPr>
          <w:rFonts w:ascii="Arial" w:cs="Arial" w:eastAsia="Arial" w:hAnsi="Arial"/>
          <w:sz w:val="16"/>
          <w:szCs w:val="16"/>
          <w:b w:val="1"/>
          <w:bCs w:val="1"/>
          <w:color w:val="auto"/>
        </w:rPr>
      </w:pPr>
    </w:p>
    <w:p>
      <w:pPr>
        <w:ind w:left="4" w:right="160" w:hanging="4"/>
        <w:spacing w:after="0" w:line="253" w:lineRule="auto"/>
        <w:tabs>
          <w:tab w:leader="none" w:pos="25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0" w:right="479" w:bottom="1440" w:gutter="0" w:footer="0" w:header="0"/>
        </w:sectPr>
      </w:pPr>
    </w:p>
    <w:bookmarkStart w:id="423" w:name="page424"/>
    <w:bookmarkEnd w:id="423"/>
    <w:p>
      <w:pPr>
        <w:ind w:firstLine="436"/>
        <w:spacing w:after="0" w:line="292" w:lineRule="auto"/>
        <w:tabs>
          <w:tab w:leader="none" w:pos="705"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If (i) the Company does not timely request the Depositary to make the rights available to Holders or requests that the rights not</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61" w:lineRule="exact"/>
        <w:rPr>
          <w:rFonts w:ascii="Arial" w:cs="Arial" w:eastAsia="Arial" w:hAnsi="Arial"/>
          <w:sz w:val="16"/>
          <w:szCs w:val="16"/>
          <w:b w:val="1"/>
          <w:bCs w:val="1"/>
          <w:color w:val="auto"/>
        </w:rPr>
      </w:pPr>
    </w:p>
    <w:p>
      <w:pPr>
        <w:ind w:right="200" w:firstLine="436"/>
        <w:spacing w:after="0" w:line="282" w:lineRule="auto"/>
        <w:tabs>
          <w:tab w:leader="none" w:pos="685"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24" w:name="page425"/>
    <w:bookmarkEnd w:id="424"/>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Distributions Other Than Cash, Shares or Rights to Purchase Shares</w:t>
      </w:r>
      <w:r>
        <w:rPr>
          <w:rFonts w:ascii="Arial" w:cs="Arial" w:eastAsia="Arial" w:hAnsi="Arial"/>
          <w:sz w:val="18"/>
          <w:szCs w:val="18"/>
          <w:b w:val="1"/>
          <w:bCs w:val="1"/>
          <w:color w:val="auto"/>
        </w:rPr>
        <w:t>.</w:t>
      </w:r>
    </w:p>
    <w:p>
      <w:pPr>
        <w:spacing w:after="0" w:line="229" w:lineRule="exact"/>
        <w:rPr>
          <w:sz w:val="20"/>
          <w:szCs w:val="20"/>
          <w:color w:val="auto"/>
        </w:rPr>
      </w:pPr>
    </w:p>
    <w:p>
      <w:pPr>
        <w:ind w:firstLine="436"/>
        <w:spacing w:after="0" w:line="272" w:lineRule="auto"/>
        <w:tabs>
          <w:tab w:leader="none" w:pos="695"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77" w:lineRule="exact"/>
        <w:rPr>
          <w:rFonts w:ascii="Arial" w:cs="Arial" w:eastAsia="Arial" w:hAnsi="Arial"/>
          <w:sz w:val="17"/>
          <w:szCs w:val="17"/>
          <w:b w:val="1"/>
          <w:bCs w:val="1"/>
          <w:color w:val="auto"/>
        </w:rPr>
      </w:pPr>
    </w:p>
    <w:p>
      <w:pPr>
        <w:ind w:right="240" w:firstLine="436"/>
        <w:spacing w:after="0" w:line="272" w:lineRule="auto"/>
        <w:tabs>
          <w:tab w:leader="none" w:pos="705"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25" w:name="page426"/>
    <w:bookmarkEnd w:id="425"/>
    <w:p>
      <w:pPr>
        <w:ind w:firstLine="436"/>
        <w:spacing w:after="0" w:line="254" w:lineRule="auto"/>
        <w:tabs>
          <w:tab w:leader="none" w:pos="68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91" w:lineRule="exact"/>
        <w:rPr>
          <w:rFonts w:ascii="Arial" w:cs="Arial" w:eastAsia="Arial" w:hAnsi="Arial"/>
          <w:sz w:val="18"/>
          <w:szCs w:val="18"/>
          <w:b w:val="1"/>
          <w:bCs w:val="1"/>
          <w:color w:val="auto"/>
        </w:rPr>
      </w:pPr>
    </w:p>
    <w:p>
      <w:pPr>
        <w:jc w:val="both"/>
        <w:ind w:right="200" w:firstLine="436"/>
        <w:spacing w:after="0" w:line="263" w:lineRule="auto"/>
        <w:tabs>
          <w:tab w:leader="none" w:pos="70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intends to exercise any right of redemption in respect of any of the Deposited Securities,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26" w:name="page427"/>
    <w:bookmarkEnd w:id="426"/>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 dividends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427" w:name="page428"/>
    <w:bookmarkEnd w:id="427"/>
    <w:p>
      <w:pPr>
        <w:ind w:right="60"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(a)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Arial" w:cs="Arial" w:eastAsia="Arial" w:hAnsi="Arial"/>
          <w:sz w:val="17"/>
          <w:szCs w:val="17"/>
          <w:u w:val="single" w:color="auto"/>
          <w:color w:val="auto"/>
        </w:rPr>
        <w:t>ADS Record 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(or such lesser number of days as mutually agreed by the Company and the Depositary)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428" w:name="page429"/>
    <w:bookmarkEnd w:id="428"/>
    <w:p>
      <w:pPr>
        <w:ind w:left="4"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contained in the Deposit Agreement or any ADR, with the Company’s prior written consent, the Depositary may, to the extent not prohibited by law or regulations, or by the requirements of any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61"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The Depositary has been advised by the Company that the Articles of Association (as in effect on the date hereof), voting at any meeting of shareholders of the Company is by show of hands unless (before or immediately following the declaration of the result of the show of hands)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w:t>
      </w:r>
    </w:p>
    <w:p>
      <w:pPr>
        <w:spacing w:after="0" w:line="1" w:lineRule="exact"/>
        <w:rPr>
          <w:sz w:val="20"/>
          <w:szCs w:val="20"/>
          <w:color w:val="auto"/>
        </w:rPr>
      </w:pPr>
    </w:p>
    <w:p>
      <w:pPr>
        <w:ind w:left="4" w:hanging="4"/>
        <w:spacing w:after="0" w:line="252" w:lineRule="auto"/>
        <w:tabs>
          <w:tab w:leader="none" w:pos="26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 less than five shareholders present in person or by proxy and entitled to vote on the resolution; (iii) by any shareholder or shareholders of the Company present in person (or by proxy), representing in aggregate not less than 10 per cent of the total voting rights of all the shareholders having the right to vote on the resolution (excluding any voting rights attached to any shares held as treasury shares); or (iv) by any shareholder or shareholders of the Company present in person (or by proxy), in each case, holding shares conferring a right to vote on the resolution, being shares on which an aggregate sum has been paid up equal to not less than 10 per cent of the total sum paid up on all the shares conferring that right (excluding shares held as treasury shares).</w:t>
      </w:r>
    </w:p>
    <w:p>
      <w:pPr>
        <w:spacing w:after="0" w:line="19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(unless otherwise specified in the notice)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29" w:name="page430"/>
    <w:bookmarkEnd w:id="429"/>
    <w:p>
      <w:pPr>
        <w:ind w:right="1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Notwithstanding anything to the contrary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30" w:name="page431"/>
    <w:bookmarkEnd w:id="430"/>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make available for inspection by Holders at its Principal Office, as promptly as practicable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83"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431" w:name="page432"/>
    <w:bookmarkEnd w:id="431"/>
    <w:p>
      <w:pPr>
        <w:ind w:right="8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4.15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The Depositary will, and will instruct the Custodian to, forward to the Company or its agents such information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for that Holder or Beneficial Owner which is required to be paid to such governmental authority.</w:t>
      </w:r>
    </w:p>
    <w:p>
      <w:pPr>
        <w:spacing w:after="0" w:line="3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use its commercially reasonable efforts to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32" w:name="page433"/>
    <w:bookmarkEnd w:id="432"/>
    <w:p>
      <w:pPr>
        <w:ind w:left="4"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is under no obligation to provide the Holders and Beneficial Owners with any information about the tax status of the Company, except to the extent that the Company provides such information to the Depositary for distribution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DEPOSITARY, THE CUSTODIAN AND THE COMPANY</w:t>
      </w:r>
    </w:p>
    <w:p>
      <w:pPr>
        <w:spacing w:after="0" w:line="2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Maintenance of Office and Transfer Books by the 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termination of the Deposit Agreement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2"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4"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15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w:t>
      </w:r>
    </w:p>
    <w:p>
      <w:pPr>
        <w:ind w:left="5424" w:right="2040" w:hanging="5424"/>
        <w:spacing w:after="0" w:line="433" w:lineRule="auto"/>
        <w:tabs>
          <w:tab w:leader="none" w:pos="3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any consequential or punitive damages (including lost profits) for any breach of the terms of the Deposit Agreement. 34</w:t>
      </w:r>
    </w:p>
    <w:p>
      <w:pPr>
        <w:sectPr>
          <w:pgSz w:w="11900" w:h="16838" w:orient="portrait"/>
          <w:cols w:equalWidth="0" w:num="1">
            <w:col w:w="11004"/>
          </w:cols>
          <w:pgMar w:left="436" w:top="274" w:right="459" w:bottom="1440" w:gutter="0" w:footer="0" w:header="0"/>
        </w:sectPr>
      </w:pPr>
    </w:p>
    <w:bookmarkStart w:id="433" w:name="page434"/>
    <w:bookmarkEnd w:id="433"/>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Standard of Care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assume no obligation and shall not be subject to any liability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6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40" w:top="274" w:right="559" w:bottom="1440" w:gutter="0" w:footer="0" w:header="0"/>
        </w:sectPr>
      </w:pPr>
    </w:p>
    <w:bookmarkStart w:id="434" w:name="page435"/>
    <w:bookmarkEnd w:id="434"/>
    <w:p>
      <w:pPr>
        <w:ind w:left="4"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83"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4" w:hanging="224"/>
        <w:spacing w:after="0"/>
        <w:tabs>
          <w:tab w:leader="none" w:pos="22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1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35" w:name="page436"/>
    <w:bookmarkEnd w:id="435"/>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the Depositary shall not be obligated to give notice to any Holders of ADSs or any other Custodian of its acting as Custodian pursuant to the Deposit Agreement.</w:t>
      </w:r>
    </w:p>
    <w:p>
      <w:pPr>
        <w:spacing w:after="0" w:line="171"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36" w:name="page437"/>
    <w:bookmarkEnd w:id="436"/>
    <w:p>
      <w:pPr>
        <w:ind w:left="4" w:right="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to the extent such amendment or change is not available on the Company’s website or is not otherwise publicly available. The Depositary may rely upon such copy for all purposes of the Deposit Agreement.</w:t>
      </w:r>
    </w:p>
    <w:p>
      <w:pPr>
        <w:spacing w:after="0" w:line="17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w:t>
      </w:r>
    </w:p>
    <w:p>
      <w:pPr>
        <w:spacing w:after="0" w:line="2" w:lineRule="exact"/>
        <w:rPr>
          <w:sz w:val="20"/>
          <w:szCs w:val="20"/>
          <w:color w:val="auto"/>
        </w:rPr>
      </w:pPr>
    </w:p>
    <w:p>
      <w:pPr>
        <w:ind w:left="4" w:hanging="4"/>
        <w:spacing w:after="0" w:line="281" w:lineRule="auto"/>
        <w:tabs>
          <w:tab w:leader="none" w:pos="25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(1) requires a registration statement under the Securities Act to be in effect or (2) is exempt from the registration requirements of the Securities Act and</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an opinion of English counsel stating that (1) making the transaction available to Holders and Beneficial Owners does not violate the laws or</w:t>
      </w:r>
    </w:p>
    <w:p>
      <w:pPr>
        <w:spacing w:after="0" w:line="20" w:lineRule="exact"/>
        <w:rPr>
          <w:rFonts w:ascii="Arial" w:cs="Arial" w:eastAsia="Arial" w:hAnsi="Arial"/>
          <w:sz w:val="17"/>
          <w:szCs w:val="17"/>
          <w:color w:val="auto"/>
        </w:rPr>
      </w:pPr>
    </w:p>
    <w:p>
      <w:pPr>
        <w:ind w:left="4" w:right="20"/>
        <w:spacing w:after="0" w:line="285" w:lineRule="auto"/>
        <w:rPr>
          <w:rFonts w:ascii="Arial" w:cs="Arial" w:eastAsia="Arial" w:hAnsi="Arial"/>
          <w:sz w:val="17"/>
          <w:szCs w:val="17"/>
          <w:color w:val="auto"/>
        </w:rPr>
      </w:pPr>
      <w:r>
        <w:rPr>
          <w:rFonts w:ascii="Arial" w:cs="Arial" w:eastAsia="Arial" w:hAnsi="Arial"/>
          <w:sz w:val="16"/>
          <w:szCs w:val="16"/>
          <w:color w:val="auto"/>
        </w:rPr>
        <w:t>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37" w:name="page438"/>
    <w:bookmarkEnd w:id="437"/>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it is not unlawful for the Company to indemnify such person at such time under applicable English law,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fraud, negligence or bad faith of any of them, or (ii) by the Company or any of its directors, officers, employees, agents and Affiliates; provided. However, that the Company shall not be liable for any fees, charges or expenses payable by third party Holders or Beneficial Owners under this Deposit Agreement.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438" w:name="page439"/>
    <w:bookmarkEnd w:id="438"/>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set forth in this Section shall survive the termination of the Deposit Agreement and the succession or substitution of any party hereto.</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connection with the issuance and cancellation of ADSs, and persons receiving ADSs upon issuance or for whom ADSs are being cancelled shall be required to pay the Depositary’s fees and related charges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whose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9" w:name="page440"/>
    <w:bookmarkEnd w:id="43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ind w:right="200" w:firstLine="440"/>
        <w:spacing w:after="0" w:line="281"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Restricted Securities Owners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advise in writing each of the persons or entities who,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w:t>
      </w:r>
    </w:p>
    <w:p>
      <w:pPr>
        <w:spacing w:after="0" w:line="2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40" w:name="page441"/>
    <w:bookmarkEnd w:id="440"/>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440" w:top="270" w:right="519" w:bottom="1440" w:gutter="0" w:footer="0" w:header="0"/>
        </w:sectPr>
      </w:pPr>
    </w:p>
    <w:bookmarkStart w:id="441" w:name="page442"/>
    <w:bookmarkEnd w:id="441"/>
    <w:p>
      <w:pPr>
        <w:ind w:right="8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42" w:name="page443"/>
    <w:bookmarkEnd w:id="44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left="4" w:right="260" w:firstLine="440"/>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sz w:val="20"/>
          <w:szCs w:val="20"/>
          <w:color w:val="auto"/>
        </w:rPr>
      </w:pPr>
    </w:p>
    <w:p>
      <w:pPr>
        <w:ind w:left="4" w:right="280" w:hanging="4"/>
        <w:spacing w:after="0" w:line="281" w:lineRule="auto"/>
        <w:tabs>
          <w:tab w:leader="none" w:pos="26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Depositary and its Affiliates may from time to time have in their possession non-public information about the Company, the Holders, the</w:t>
      </w:r>
    </w:p>
    <w:p>
      <w:pPr>
        <w:spacing w:after="0" w:line="20" w:lineRule="exact"/>
        <w:rPr>
          <w:rFonts w:ascii="Arial" w:cs="Arial" w:eastAsia="Arial" w:hAnsi="Arial"/>
          <w:sz w:val="17"/>
          <w:szCs w:val="17"/>
          <w:color w:val="auto"/>
        </w:rPr>
      </w:pPr>
    </w:p>
    <w:p>
      <w:pPr>
        <w:ind w:left="4" w:right="20"/>
        <w:spacing w:after="0" w:line="287" w:lineRule="auto"/>
        <w:rPr>
          <w:rFonts w:ascii="Arial" w:cs="Arial" w:eastAsia="Arial" w:hAnsi="Arial"/>
          <w:sz w:val="17"/>
          <w:szCs w:val="17"/>
          <w:color w:val="auto"/>
        </w:rPr>
      </w:pPr>
      <w:r>
        <w:rPr>
          <w:rFonts w:ascii="Arial" w:cs="Arial" w:eastAsia="Arial" w:hAnsi="Arial"/>
          <w:sz w:val="16"/>
          <w:szCs w:val="16"/>
          <w:color w:val="auto"/>
        </w:rPr>
        <w:t>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6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443" w:name="page444"/>
    <w:bookmarkEnd w:id="443"/>
    <w:p>
      <w:pPr>
        <w:ind w:right="2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7.5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to be given to the Company shall be deemed to have been duly given if personally delivered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mail, air courier or cable, telex or facsimile transmission, confirmed by letter personally delivered or sent by mail or air courier, addressed to PureTech Health plc, 20 Farringdon Street, 8</w:t>
      </w:r>
      <w:r>
        <w:rPr>
          <w:rFonts w:ascii="Arial" w:cs="Arial" w:eastAsia="Arial" w:hAnsi="Arial"/>
          <w:sz w:val="14"/>
          <w:szCs w:val="14"/>
          <w:color w:val="auto"/>
        </w:rPr>
        <w:t>th</w:t>
      </w:r>
      <w:r>
        <w:rPr>
          <w:rFonts w:ascii="Arial" w:cs="Arial" w:eastAsia="Arial" w:hAnsi="Arial"/>
          <w:sz w:val="17"/>
          <w:szCs w:val="17"/>
          <w:color w:val="auto"/>
        </w:rPr>
        <w:t xml:space="preserve"> Floor, London EC4A 4AB, United Kingdom, </w:t>
      </w:r>
      <w:r>
        <w:rPr>
          <w:rFonts w:ascii="Arial" w:cs="Arial" w:eastAsia="Arial" w:hAnsi="Arial"/>
          <w:sz w:val="17"/>
          <w:szCs w:val="17"/>
          <w:u w:val="single" w:color="auto"/>
          <w:color w:val="auto"/>
        </w:rPr>
        <w:t>Attention</w:t>
      </w:r>
      <w:r>
        <w:rPr>
          <w:rFonts w:ascii="Arial" w:cs="Arial" w:eastAsia="Arial" w:hAnsi="Arial"/>
          <w:sz w:val="17"/>
          <w:szCs w:val="17"/>
          <w:color w:val="auto"/>
        </w:rPr>
        <w:t xml:space="preserve">: Stephen Muniz, Chief Operating Officer, with a copy to PureTech Health plc, Labs and Corporate Offices 6 Tide Street, Suite 400, Boston, MA 02210, USA, </w:t>
      </w:r>
      <w:r>
        <w:rPr>
          <w:rFonts w:ascii="Arial" w:cs="Arial" w:eastAsia="Arial" w:hAnsi="Arial"/>
          <w:sz w:val="17"/>
          <w:szCs w:val="17"/>
          <w:u w:val="single" w:color="auto"/>
          <w:color w:val="auto"/>
        </w:rPr>
        <w:t>Attention</w:t>
      </w:r>
      <w:r>
        <w:rPr>
          <w:rFonts w:ascii="Arial" w:cs="Arial" w:eastAsia="Arial" w:hAnsi="Arial"/>
          <w:sz w:val="17"/>
          <w:szCs w:val="17"/>
          <w:color w:val="auto"/>
        </w:rPr>
        <w:t>: Stephen Muniz, Chief Operating Officer or to any other address which the Company may specify in writing to the Depositary.</w:t>
      </w:r>
    </w:p>
    <w:p>
      <w:pPr>
        <w:spacing w:after="0" w:line="172"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Any and all notices to be given to any Holder shall be deemed to have been duly given </w:t>
      </w:r>
      <w:r>
        <w:rPr>
          <w:rFonts w:ascii="Arial" w:cs="Arial" w:eastAsia="Arial" w:hAnsi="Arial"/>
          <w:sz w:val="16"/>
          <w:szCs w:val="16"/>
          <w:b w:val="1"/>
          <w:bCs w:val="1"/>
          <w:color w:val="auto"/>
        </w:rPr>
        <w:t>(a)</w:t>
      </w:r>
      <w:r>
        <w:rPr>
          <w:rFonts w:ascii="Arial" w:cs="Arial" w:eastAsia="Arial" w:hAnsi="Arial"/>
          <w:sz w:val="16"/>
          <w:szCs w:val="16"/>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Arial" w:cs="Arial" w:eastAsia="Arial" w:hAnsi="Arial"/>
          <w:sz w:val="16"/>
          <w:szCs w:val="16"/>
          <w:b w:val="1"/>
          <w:bCs w:val="1"/>
          <w:color w:val="auto"/>
        </w:rPr>
        <w:t>(b)</w:t>
      </w:r>
      <w:r>
        <w:rPr>
          <w:rFonts w:ascii="Arial" w:cs="Arial" w:eastAsia="Arial" w:hAnsi="Arial"/>
          <w:sz w:val="16"/>
          <w:szCs w:val="16"/>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444" w:name="page445"/>
    <w:bookmarkEnd w:id="444"/>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PureTech Health LLC (the “</w:t>
      </w:r>
      <w:r>
        <w:rPr>
          <w:rFonts w:ascii="Arial" w:cs="Arial" w:eastAsia="Arial" w:hAnsi="Arial"/>
          <w:sz w:val="17"/>
          <w:szCs w:val="17"/>
          <w:u w:val="single" w:color="auto"/>
          <w:color w:val="auto"/>
        </w:rPr>
        <w:t>Agent</w:t>
      </w:r>
      <w:r>
        <w:rPr>
          <w:rFonts w:ascii="Arial" w:cs="Arial" w:eastAsia="Arial" w:hAnsi="Arial"/>
          <w:sz w:val="17"/>
          <w:szCs w:val="17"/>
          <w:color w:val="auto"/>
        </w:rPr>
        <w:t>”) now at 6 Tide Street, Suite 400, Boston, MA 02210,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445" w:name="page446"/>
    <w:bookmarkEnd w:id="445"/>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88"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20" w:firstLine="436"/>
        <w:spacing w:after="0" w:line="263" w:lineRule="auto"/>
        <w:tabs>
          <w:tab w:leader="none" w:pos="695"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ind w:right="60" w:firstLine="436"/>
        <w:spacing w:after="0" w:line="263" w:lineRule="auto"/>
        <w:tabs>
          <w:tab w:leader="none" w:pos="705"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English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English laws and regulations and of the terms of the Company’s 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46" w:name="page447"/>
    <w:bookmarkEnd w:id="44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7.10 </w:t>
      </w:r>
      <w:r>
        <w:rPr>
          <w:rFonts w:ascii="Arial" w:cs="Arial" w:eastAsia="Arial" w:hAnsi="Arial"/>
          <w:sz w:val="18"/>
          <w:szCs w:val="18"/>
          <w:b w:val="1"/>
          <w:bCs w:val="1"/>
          <w:u w:val="single" w:color="auto"/>
          <w:color w:val="auto"/>
        </w:rPr>
        <w:t>Titles and References</w:t>
      </w:r>
      <w:r>
        <w:rPr>
          <w:rFonts w:ascii="Arial" w:cs="Arial" w:eastAsia="Arial" w:hAnsi="Arial"/>
          <w:sz w:val="18"/>
          <w:szCs w:val="18"/>
          <w:b w:val="1"/>
          <w:bCs w:val="1"/>
          <w:color w:val="auto"/>
        </w:rPr>
        <w:t>.</w:t>
      </w:r>
    </w:p>
    <w:p>
      <w:pPr>
        <w:spacing w:after="0" w:line="225" w:lineRule="exact"/>
        <w:rPr>
          <w:sz w:val="20"/>
          <w:szCs w:val="20"/>
          <w:color w:val="auto"/>
        </w:rPr>
      </w:pPr>
    </w:p>
    <w:p>
      <w:pPr>
        <w:ind w:firstLine="436"/>
        <w:spacing w:after="0" w:line="271" w:lineRule="auto"/>
        <w:tabs>
          <w:tab w:leader="none" w:pos="695"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73" w:lineRule="exact"/>
        <w:rPr>
          <w:rFonts w:ascii="Arial" w:cs="Arial" w:eastAsia="Arial" w:hAnsi="Arial"/>
          <w:sz w:val="17"/>
          <w:szCs w:val="17"/>
          <w:b w:val="1"/>
          <w:bCs w:val="1"/>
          <w:color w:val="auto"/>
        </w:rPr>
      </w:pPr>
    </w:p>
    <w:p>
      <w:pPr>
        <w:ind w:right="20" w:firstLine="436"/>
        <w:spacing w:after="0" w:line="271" w:lineRule="auto"/>
        <w:tabs>
          <w:tab w:leader="none" w:pos="705"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0" w:right="439" w:bottom="1440" w:gutter="0" w:footer="0" w:header="0"/>
        </w:sectPr>
      </w:pPr>
    </w:p>
    <w:bookmarkStart w:id="447" w:name="page448"/>
    <w:bookmarkEnd w:id="447"/>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PURETECH HEALTH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40" w:top="274" w:right="519" w:bottom="1440" w:gutter="0" w:footer="0" w:header="0"/>
        </w:sectPr>
      </w:pPr>
    </w:p>
    <w:bookmarkStart w:id="448" w:name="page449"/>
    <w:bookmarkEnd w:id="4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ADR]</w:t>
      </w:r>
    </w:p>
    <w:p>
      <w:pPr>
        <w:spacing w:after="0" w:line="252" w:lineRule="exact"/>
        <w:rPr>
          <w:sz w:val="20"/>
          <w:szCs w:val="20"/>
          <w:color w:val="auto"/>
        </w:rPr>
      </w:pPr>
    </w:p>
    <w:p>
      <w:pPr>
        <w:spacing w:after="0"/>
        <w:tabs>
          <w:tab w:leader="none" w:pos="89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CUSIP NUMBER: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715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Depositary Shares (each American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Depositary Share representing the right to receive ten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(10) fully paid ordinary shares)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ORDINARY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PURETECH HEALTH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60"/>
        <w:spacing w:after="0" w:line="271" w:lineRule="auto"/>
        <w:rPr>
          <w:sz w:val="20"/>
          <w:szCs w:val="20"/>
          <w:color w:val="auto"/>
        </w:rPr>
      </w:pPr>
      <w:r>
        <w:rPr>
          <w:rFonts w:ascii="Arial" w:cs="Arial" w:eastAsia="Arial" w:hAnsi="Arial"/>
          <w:sz w:val="17"/>
          <w:szCs w:val="17"/>
          <w:color w:val="auto"/>
        </w:rPr>
        <w:t>deposited ordinary shares, including evidence of rights to receive such ordinary shares (the “Shares”), of PureTech Health plc, a public limited company incorporated under the laws of England and Wales (the “Company”). As of the date of issuance of this ADR, each ADS represents the right to receive ten (10) 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449" w:name="page450"/>
    <w:bookmarkEnd w:id="449"/>
    <w:p>
      <w:pPr>
        <w:ind w:firstLine="436"/>
        <w:spacing w:after="0" w:line="286" w:lineRule="auto"/>
        <w:tabs>
          <w:tab w:leader="none" w:pos="695"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be issued upon the terms and conditions set forth in the Deposit Agreement, dated as of [•], 2020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40" w:firstLine="436"/>
        <w:spacing w:after="0" w:line="287" w:lineRule="auto"/>
        <w:tabs>
          <w:tab w:leader="none" w:pos="695"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0" w:right="479" w:bottom="1440" w:gutter="0" w:footer="0" w:header="0"/>
        </w:sectPr>
      </w:pPr>
    </w:p>
    <w:bookmarkStart w:id="450" w:name="page451"/>
    <w:bookmarkEnd w:id="450"/>
    <w:p>
      <w:pPr>
        <w:ind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7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440" w:top="274" w:right="519" w:bottom="1440" w:gutter="0" w:footer="0" w:header="0"/>
        </w:sectPr>
      </w:pPr>
    </w:p>
    <w:bookmarkStart w:id="451" w:name="page452"/>
    <w:bookmarkEnd w:id="451"/>
    <w:p>
      <w:pPr>
        <w:ind w:firstLine="436"/>
        <w:spacing w:after="0" w:line="289" w:lineRule="auto"/>
        <w:tabs>
          <w:tab w:leader="none" w:pos="695"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 hereby)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4" w:lineRule="exact"/>
        <w:rPr>
          <w:sz w:val="20"/>
          <w:szCs w:val="20"/>
          <w:color w:val="auto"/>
        </w:rPr>
      </w:pPr>
    </w:p>
    <w:p>
      <w:pPr>
        <w:ind w:right="20" w:firstLine="436"/>
        <w:spacing w:after="0" w:line="289" w:lineRule="auto"/>
        <w:tabs>
          <w:tab w:leader="none" w:pos="695"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0" w:right="459" w:bottom="1440" w:gutter="0" w:footer="0" w:header="0"/>
        </w:sectPr>
      </w:pPr>
    </w:p>
    <w:bookmarkStart w:id="452" w:name="page453"/>
    <w:bookmarkEnd w:id="452"/>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0" w:lineRule="exact"/>
        <w:rPr>
          <w:sz w:val="20"/>
          <w:szCs w:val="20"/>
          <w:color w:val="auto"/>
        </w:rPr>
      </w:pPr>
    </w:p>
    <w:p>
      <w:pPr>
        <w:ind w:right="60" w:firstLine="436"/>
        <w:spacing w:after="0" w:line="291" w:lineRule="auto"/>
        <w:tabs>
          <w:tab w:leader="none" w:pos="695"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59" w:lineRule="exact"/>
        <w:rPr>
          <w:rFonts w:ascii="Arial" w:cs="Arial" w:eastAsia="Arial" w:hAnsi="Arial"/>
          <w:sz w:val="16"/>
          <w:szCs w:val="16"/>
          <w:b w:val="1"/>
          <w:bCs w:val="1"/>
          <w:color w:val="auto"/>
        </w:rPr>
      </w:pPr>
    </w:p>
    <w:p>
      <w:pPr>
        <w:ind w:firstLine="436"/>
        <w:spacing w:after="0" w:line="253" w:lineRule="auto"/>
        <w:tabs>
          <w:tab w:leader="none" w:pos="69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contained in this ADR or of the Deposit Agreement, the Company may restrict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40" w:top="274" w:right="499" w:bottom="1440" w:gutter="0" w:footer="0" w:header="0"/>
        </w:sectPr>
      </w:pPr>
    </w:p>
    <w:bookmarkStart w:id="453" w:name="page454"/>
    <w:bookmarkEnd w:id="453"/>
    <w:p>
      <w:pPr>
        <w:ind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Arial" w:cs="Arial" w:eastAsia="Arial" w:hAnsi="Arial"/>
          <w:sz w:val="18"/>
          <w:szCs w:val="18"/>
          <w:u w:val="single" w:color="auto"/>
          <w:color w:val="auto"/>
        </w:rPr>
        <w:t>Disclosure Notice</w:t>
      </w:r>
      <w:r>
        <w:rPr>
          <w:rFonts w:ascii="Arial" w:cs="Arial" w:eastAsia="Arial" w:hAnsi="Arial"/>
          <w:sz w:val="18"/>
          <w:szCs w:val="18"/>
          <w:color w:val="auto"/>
        </w:rPr>
        <w:t>”) given pursuant to the U.K. Companies Act 2006 (as amended from time to time and including any statutory modification or re-enactment thereof, the “</w:t>
      </w:r>
      <w:r>
        <w:rPr>
          <w:rFonts w:ascii="Arial" w:cs="Arial" w:eastAsia="Arial" w:hAnsi="Arial"/>
          <w:sz w:val="18"/>
          <w:szCs w:val="18"/>
          <w:u w:val="single" w:color="auto"/>
          <w:color w:val="auto"/>
        </w:rPr>
        <w:t>Companies Act</w:t>
      </w:r>
      <w:r>
        <w:rPr>
          <w:rFonts w:ascii="Arial" w:cs="Arial" w:eastAsia="Arial" w:hAnsi="Arial"/>
          <w:sz w:val="18"/>
          <w:szCs w:val="18"/>
          <w:color w:val="auto"/>
        </w:rPr>
        <w: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In addition, by accepting or holding an ADR, each Holder and Beneficial Owner agrees to comply with the provisions of the DTRs, which as of the date of this Deposit Agreement provide, </w:t>
      </w:r>
      <w:r>
        <w:rPr>
          <w:rFonts w:ascii="Arial" w:cs="Arial" w:eastAsia="Arial" w:hAnsi="Arial"/>
          <w:sz w:val="17"/>
          <w:szCs w:val="17"/>
          <w:i w:val="1"/>
          <w:iCs w:val="1"/>
          <w:color w:val="auto"/>
        </w:rPr>
        <w:t>inter alia</w:t>
      </w:r>
      <w:r>
        <w:rPr>
          <w:rFonts w:ascii="Arial" w:cs="Arial" w:eastAsia="Arial" w:hAnsi="Arial"/>
          <w:sz w:val="17"/>
          <w:szCs w:val="17"/>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8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57" w:lineRule="exact"/>
        <w:rPr>
          <w:sz w:val="20"/>
          <w:szCs w:val="20"/>
          <w:color w:val="auto"/>
        </w:rPr>
      </w:pPr>
    </w:p>
    <w:p>
      <w:pPr>
        <w:ind w:right="20" w:firstLine="436"/>
        <w:spacing w:after="0" w:line="273" w:lineRule="auto"/>
        <w:tabs>
          <w:tab w:leader="none" w:pos="695"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454" w:name="page455"/>
    <w:bookmarkEnd w:id="454"/>
    <w:p>
      <w:pPr>
        <w:ind w:right="20" w:firstLine="436"/>
        <w:spacing w:after="0" w:line="286" w:lineRule="auto"/>
        <w:tabs>
          <w:tab w:leader="none" w:pos="695"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transactions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67" w:lineRule="exact"/>
        <w:rPr>
          <w:rFonts w:ascii="Arial" w:cs="Arial" w:eastAsia="Arial" w:hAnsi="Arial"/>
          <w:sz w:val="16"/>
          <w:szCs w:val="16"/>
          <w:b w:val="1"/>
          <w:bCs w:val="1"/>
          <w:color w:val="auto"/>
        </w:rPr>
      </w:pPr>
    </w:p>
    <w:p>
      <w:pPr>
        <w:ind w:firstLine="436"/>
        <w:spacing w:after="0" w:line="289" w:lineRule="auto"/>
        <w:tabs>
          <w:tab w:leader="none" w:pos="695"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0" w:right="459" w:bottom="1440" w:gutter="0" w:footer="0" w:header="0"/>
        </w:sectPr>
      </w:pPr>
    </w:p>
    <w:bookmarkStart w:id="455" w:name="page456"/>
    <w:bookmarkEnd w:id="455"/>
    <w:p>
      <w:pPr>
        <w:ind w:firstLine="436"/>
        <w:spacing w:after="0" w:line="285" w:lineRule="auto"/>
        <w:tabs>
          <w:tab w:leader="none" w:pos="785" w:val="left"/>
        </w:tabs>
        <w:numPr>
          <w:ilvl w:val="1"/>
          <w:numId w:val="2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8" w:lineRule="exact"/>
        <w:rPr>
          <w:rFonts w:ascii="Arial" w:cs="Arial" w:eastAsia="Arial" w:hAnsi="Arial"/>
          <w:sz w:val="16"/>
          <w:szCs w:val="16"/>
          <w:b w:val="1"/>
          <w:bCs w:val="1"/>
          <w:color w:val="auto"/>
        </w:rPr>
      </w:pPr>
    </w:p>
    <w:p>
      <w:pPr>
        <w:ind w:left="780" w:hanging="344"/>
        <w:spacing w:after="0"/>
        <w:tabs>
          <w:tab w:leader="none" w:pos="780"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134" w:lineRule="exact"/>
        <w:rPr>
          <w:rFonts w:ascii="Arial" w:cs="Arial" w:eastAsia="Arial" w:hAnsi="Arial"/>
          <w:sz w:val="18"/>
          <w:szCs w:val="18"/>
          <w:b w:val="1"/>
          <w:bCs w:val="1"/>
          <w:color w:val="auto"/>
        </w:rPr>
      </w:pPr>
    </w:p>
    <w:p>
      <w:pPr>
        <w:ind w:left="960" w:right="140" w:hanging="532"/>
        <w:spacing w:after="0" w:line="286" w:lineRule="auto"/>
        <w:tabs>
          <w:tab w:leader="none" w:pos="960" w:val="left"/>
        </w:tabs>
        <w:numPr>
          <w:ilvl w:val="0"/>
          <w:numId w:val="273"/>
        </w:numPr>
        <w:rPr>
          <w:rFonts w:ascii="Arial" w:cs="Arial" w:eastAsia="Arial" w:hAnsi="Arial"/>
          <w:sz w:val="17"/>
          <w:szCs w:val="17"/>
          <w:b w:val="1"/>
          <w:bCs w:val="1"/>
          <w:color w:val="auto"/>
        </w:rPr>
      </w:pPr>
      <w:r>
        <w:rPr>
          <w:rFonts w:ascii="Arial" w:cs="Arial" w:eastAsia="Arial" w:hAnsi="Arial"/>
          <w:sz w:val="17"/>
          <w:szCs w:val="17"/>
          <w:u w:val="single" w:color="auto"/>
          <w:color w:val="auto"/>
        </w:rPr>
        <w:t>ADS Issuance Fee</w:t>
      </w:r>
      <w:r>
        <w:rPr>
          <w:rFonts w:ascii="Arial" w:cs="Arial" w:eastAsia="Arial" w:hAnsi="Arial"/>
          <w:sz w:val="17"/>
          <w:szCs w:val="17"/>
          <w:color w:val="auto"/>
        </w:rPr>
        <w:t>: by any person for whom ADSs are issued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70" w:lineRule="exact"/>
        <w:rPr>
          <w:rFonts w:ascii="Arial" w:cs="Arial" w:eastAsia="Arial" w:hAnsi="Arial"/>
          <w:sz w:val="17"/>
          <w:szCs w:val="17"/>
          <w:b w:val="1"/>
          <w:bCs w:val="1"/>
          <w:color w:val="auto"/>
        </w:rPr>
      </w:pPr>
    </w:p>
    <w:p>
      <w:pPr>
        <w:ind w:left="960" w:right="100" w:hanging="532"/>
        <w:spacing w:after="0" w:line="263" w:lineRule="auto"/>
        <w:tabs>
          <w:tab w:leader="none" w:pos="960"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89" w:lineRule="exact"/>
        <w:rPr>
          <w:rFonts w:ascii="Arial" w:cs="Arial" w:eastAsia="Arial" w:hAnsi="Arial"/>
          <w:sz w:val="18"/>
          <w:szCs w:val="18"/>
          <w:b w:val="1"/>
          <w:bCs w:val="1"/>
          <w:color w:val="auto"/>
        </w:rPr>
      </w:pPr>
    </w:p>
    <w:p>
      <w:pPr>
        <w:ind w:left="960" w:right="820" w:hanging="532"/>
        <w:spacing w:after="0" w:line="308" w:lineRule="auto"/>
        <w:tabs>
          <w:tab w:leader="none" w:pos="960" w:val="left"/>
        </w:tabs>
        <w:numPr>
          <w:ilvl w:val="0"/>
          <w:numId w:val="273"/>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0" w:right="459" w:bottom="1440" w:gutter="0" w:footer="0" w:header="0"/>
        </w:sectPr>
      </w:pPr>
    </w:p>
    <w:bookmarkStart w:id="456" w:name="page457"/>
    <w:bookmarkEnd w:id="456"/>
    <w:p>
      <w:pPr>
        <w:ind w:left="960" w:right="220" w:hanging="532"/>
        <w:spacing w:after="0" w:line="263" w:lineRule="auto"/>
        <w:tabs>
          <w:tab w:leader="none" w:pos="96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89" w:lineRule="exact"/>
        <w:rPr>
          <w:rFonts w:ascii="Arial" w:cs="Arial" w:eastAsia="Arial" w:hAnsi="Arial"/>
          <w:sz w:val="18"/>
          <w:szCs w:val="18"/>
          <w:b w:val="1"/>
          <w:bCs w:val="1"/>
          <w:color w:val="auto"/>
        </w:rPr>
      </w:pPr>
    </w:p>
    <w:p>
      <w:pPr>
        <w:ind w:left="960" w:right="660" w:hanging="532"/>
        <w:spacing w:after="0" w:line="277" w:lineRule="auto"/>
        <w:tabs>
          <w:tab w:leader="none" w:pos="96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w:t>
      </w:r>
    </w:p>
    <w:p>
      <w:pPr>
        <w:spacing w:after="0" w:line="75" w:lineRule="exact"/>
        <w:rPr>
          <w:rFonts w:ascii="Arial" w:cs="Arial" w:eastAsia="Arial" w:hAnsi="Arial"/>
          <w:sz w:val="18"/>
          <w:szCs w:val="18"/>
          <w:b w:val="1"/>
          <w:bCs w:val="1"/>
          <w:color w:val="auto"/>
        </w:rPr>
      </w:pPr>
    </w:p>
    <w:p>
      <w:pPr>
        <w:ind w:left="960" w:right="560" w:hanging="532"/>
        <w:spacing w:after="0" w:line="277" w:lineRule="auto"/>
        <w:tabs>
          <w:tab w:leader="none" w:pos="96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75" w:lineRule="exact"/>
        <w:rPr>
          <w:rFonts w:ascii="Arial" w:cs="Arial" w:eastAsia="Arial" w:hAnsi="Arial"/>
          <w:sz w:val="18"/>
          <w:szCs w:val="18"/>
          <w:b w:val="1"/>
          <w:bCs w:val="1"/>
          <w:color w:val="auto"/>
        </w:rPr>
      </w:pPr>
    </w:p>
    <w:p>
      <w:pPr>
        <w:ind w:left="960" w:right="20" w:hanging="532"/>
        <w:spacing w:after="0" w:line="263" w:lineRule="auto"/>
        <w:tabs>
          <w:tab w:leader="none" w:pos="96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 and</w:t>
      </w:r>
    </w:p>
    <w:p>
      <w:pPr>
        <w:spacing w:after="0" w:line="89" w:lineRule="exact"/>
        <w:rPr>
          <w:rFonts w:ascii="Arial" w:cs="Arial" w:eastAsia="Arial" w:hAnsi="Arial"/>
          <w:sz w:val="18"/>
          <w:szCs w:val="18"/>
          <w:b w:val="1"/>
          <w:bCs w:val="1"/>
          <w:color w:val="auto"/>
        </w:rPr>
      </w:pPr>
    </w:p>
    <w:p>
      <w:pPr>
        <w:ind w:left="960" w:right="80" w:hanging="532"/>
        <w:spacing w:after="0" w:line="259" w:lineRule="auto"/>
        <w:tabs>
          <w:tab w:leader="none" w:pos="960" w:val="left"/>
        </w:tabs>
        <w:numPr>
          <w:ilvl w:val="0"/>
          <w:numId w:val="274"/>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89" w:lineRule="exact"/>
        <w:rPr>
          <w:sz w:val="20"/>
          <w:szCs w:val="20"/>
          <w:color w:val="auto"/>
        </w:rPr>
      </w:pPr>
    </w:p>
    <w:p>
      <w:pPr>
        <w:ind w:left="960" w:hanging="532"/>
        <w:spacing w:after="0"/>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960" w:right="20" w:hanging="532"/>
        <w:spacing w:after="0" w:line="308" w:lineRule="auto"/>
        <w:tabs>
          <w:tab w:leader="none" w:pos="96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51" w:lineRule="exact"/>
        <w:rPr>
          <w:rFonts w:ascii="Arial" w:cs="Arial" w:eastAsia="Arial" w:hAnsi="Arial"/>
          <w:sz w:val="17"/>
          <w:szCs w:val="17"/>
          <w:color w:val="auto"/>
        </w:rPr>
      </w:pPr>
    </w:p>
    <w:p>
      <w:pPr>
        <w:ind w:left="960" w:right="400" w:hanging="532"/>
        <w:spacing w:after="0" w:line="263"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457" w:name="page458"/>
    <w:bookmarkEnd w:id="457"/>
    <w:p>
      <w:pPr>
        <w:ind w:left="960" w:right="100" w:hanging="532"/>
        <w:spacing w:after="0" w:line="277"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reasonable and customary out-of-pocket expenses incurred in such conversion and/or on behalf of the Holders and Beneficial Owners in complying with currency exchange control or other governmental requirements;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458" w:name="page459"/>
    <w:bookmarkEnd w:id="458"/>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left="4" w:right="120" w:firstLine="436"/>
        <w:spacing w:after="0" w:line="271" w:lineRule="auto"/>
        <w:tabs>
          <w:tab w:leader="none" w:pos="789" w:val="left"/>
        </w:tabs>
        <w:numPr>
          <w:ilvl w:val="1"/>
          <w:numId w:val="2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left="4" w:right="20" w:firstLine="436"/>
        <w:spacing w:after="0" w:line="273" w:lineRule="auto"/>
        <w:tabs>
          <w:tab w:leader="none" w:pos="789" w:val="left"/>
        </w:tabs>
        <w:numPr>
          <w:ilvl w:val="1"/>
          <w:numId w:val="2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1" w:lineRule="exact"/>
        <w:rPr>
          <w:rFonts w:ascii="Arial" w:cs="Arial" w:eastAsia="Arial" w:hAnsi="Arial"/>
          <w:sz w:val="17"/>
          <w:szCs w:val="17"/>
          <w:b w:val="1"/>
          <w:bCs w:val="1"/>
          <w:color w:val="auto"/>
        </w:rPr>
      </w:pPr>
    </w:p>
    <w:p>
      <w:pPr>
        <w:ind w:left="4" w:right="40" w:firstLine="436"/>
        <w:spacing w:after="0" w:line="285" w:lineRule="auto"/>
        <w:tabs>
          <w:tab w:leader="none" w:pos="789" w:val="left"/>
        </w:tabs>
        <w:numPr>
          <w:ilvl w:val="1"/>
          <w:numId w:val="2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Available Information; Reports; Inspection of Transfer Books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subject to the periodic reporting requirements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and, accordingly, is required to file or furnish certain reports with the Commission. These reports can be retrieved from the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w:t>
      </w:r>
    </w:p>
    <w:p>
      <w:pPr>
        <w:spacing w:after="0" w:line="3" w:lineRule="exact"/>
        <w:rPr>
          <w:rFonts w:ascii="Arial" w:cs="Arial" w:eastAsia="Arial" w:hAnsi="Arial"/>
          <w:sz w:val="16"/>
          <w:szCs w:val="16"/>
          <w:b w:val="1"/>
          <w:bCs w:val="1"/>
          <w:color w:val="auto"/>
        </w:rPr>
      </w:pPr>
    </w:p>
    <w:p>
      <w:pPr>
        <w:ind w:left="4" w:right="80" w:hanging="4"/>
        <w:spacing w:after="0" w:line="260" w:lineRule="auto"/>
        <w:tabs>
          <w:tab w:leader="none" w:pos="2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4"/>
          </w:cols>
          <w:pgMar w:left="436" w:top="274" w:right="439" w:bottom="1440" w:gutter="0" w:footer="0" w:header="0"/>
        </w:sectPr>
      </w:pPr>
    </w:p>
    <w:bookmarkStart w:id="459" w:name="page460"/>
    <w:bookmarkEnd w:id="459"/>
    <w:p>
      <w:pPr>
        <w:jc w:val="both"/>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Dated:</w:t>
            </w:r>
          </w:p>
        </w:tc>
        <w:tc>
          <w:tcPr>
            <w:tcW w:w="9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CITIBANK, N.A.</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as Depositary</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By:</w:t>
            </w:r>
          </w:p>
        </w:tc>
        <w:tc>
          <w:tcPr>
            <w:tcW w:w="5820" w:type="dxa"/>
            <w:vAlign w:val="bottom"/>
            <w:gridSpan w:val="2"/>
          </w:tcPr>
          <w:p>
            <w:pPr>
              <w:ind w:left="580"/>
              <w:spacing w:after="0"/>
              <w:rPr>
                <w:sz w:val="20"/>
                <w:szCs w:val="20"/>
                <w:color w:val="auto"/>
              </w:rPr>
            </w:pPr>
            <w:r>
              <w:rPr>
                <w:rFonts w:ascii="Arial" w:cs="Arial" w:eastAsia="Arial" w:hAnsi="Arial"/>
                <w:sz w:val="18"/>
                <w:szCs w:val="18"/>
                <w:color w:val="auto"/>
              </w:rPr>
              <w:t>By:</w:t>
            </w:r>
          </w:p>
        </w:tc>
      </w:tr>
      <w:tr>
        <w:trPr>
          <w:trHeight w:val="224"/>
        </w:trPr>
        <w:tc>
          <w:tcPr>
            <w:tcW w:w="36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96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Office of the Depositary is 388 Greenwich Street, New York, New York 10013, U.S.A.</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4" w:right="439" w:bottom="1440" w:gutter="0" w:footer="0" w:header="0"/>
        </w:sectPr>
      </w:pPr>
    </w:p>
    <w:bookmarkStart w:id="460" w:name="page461"/>
    <w:bookmarkEnd w:id="4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ADR]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740" w:hanging="344"/>
        <w:spacing w:after="0"/>
        <w:tabs>
          <w:tab w:leader="none" w:pos="7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 and Distributions in Cash, Shares, etc</w:t>
      </w:r>
      <w:r>
        <w:rPr>
          <w:rFonts w:ascii="Arial" w:cs="Arial" w:eastAsia="Arial" w:hAnsi="Arial"/>
          <w:sz w:val="18"/>
          <w:szCs w:val="18"/>
          <w:b w:val="1"/>
          <w:bCs w:val="1"/>
          <w:color w:val="auto"/>
        </w:rPr>
        <w:t>.</w:t>
      </w:r>
    </w:p>
    <w:p>
      <w:pPr>
        <w:spacing w:after="0" w:line="229" w:lineRule="exact"/>
        <w:rPr>
          <w:sz w:val="20"/>
          <w:szCs w:val="20"/>
          <w:color w:val="auto"/>
        </w:rPr>
      </w:pPr>
    </w:p>
    <w:p>
      <w:pPr>
        <w:ind w:left="-40" w:firstLine="436"/>
        <w:spacing w:after="0" w:line="284" w:lineRule="auto"/>
        <w:tabs>
          <w:tab w:leader="none" w:pos="645" w:val="left"/>
        </w:tabs>
        <w:numPr>
          <w:ilvl w:val="0"/>
          <w:numId w:val="280"/>
        </w:numPr>
        <w:rPr>
          <w:rFonts w:ascii="Arial" w:cs="Arial" w:eastAsia="Arial" w:hAnsi="Arial"/>
          <w:sz w:val="16"/>
          <w:szCs w:val="16"/>
          <w:color w:val="auto"/>
        </w:rPr>
      </w:pP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 the Company that it intends to make a distribution of a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20"/>
          </w:cols>
          <w:pgMar w:left="480" w:top="270" w:right="499" w:bottom="1440" w:gutter="0" w:footer="0" w:header="0"/>
        </w:sectPr>
      </w:pPr>
    </w:p>
    <w:bookmarkStart w:id="461" w:name="page462"/>
    <w:bookmarkEnd w:id="461"/>
    <w:p>
      <w:pPr>
        <w:ind w:right="120" w:firstLine="436"/>
        <w:spacing w:after="0" w:line="269" w:lineRule="auto"/>
        <w:tabs>
          <w:tab w:leader="none" w:pos="695" w:val="left"/>
        </w:tabs>
        <w:numPr>
          <w:ilvl w:val="0"/>
          <w:numId w:val="281"/>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Distributions</w:t>
      </w:r>
      <w:r>
        <w:rPr>
          <w:rFonts w:ascii="Arial" w:cs="Arial" w:eastAsia="Arial" w:hAnsi="Arial"/>
          <w:sz w:val="17"/>
          <w:szCs w:val="17"/>
          <w:color w:val="auto"/>
        </w:rPr>
        <w:t>: Upon the timely receipt by the Depositary of a notice from the Company that it intends to make a distribution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after consultation with the Company to the extent reasonably practicable,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0"/>
          </w:cols>
          <w:pgMar w:left="440" w:top="274" w:right="479" w:bottom="1440" w:gutter="0" w:footer="0" w:header="0"/>
        </w:sectPr>
      </w:pPr>
    </w:p>
    <w:bookmarkStart w:id="462" w:name="page463"/>
    <w:bookmarkEnd w:id="462"/>
    <w:p>
      <w:pPr>
        <w:ind w:left="4" w:firstLine="436"/>
        <w:spacing w:after="0" w:line="284" w:lineRule="auto"/>
        <w:tabs>
          <w:tab w:leader="none" w:pos="689" w:val="left"/>
        </w:tabs>
        <w:numPr>
          <w:ilvl w:val="1"/>
          <w:numId w:val="28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394" w:lineRule="exact"/>
        <w:rPr>
          <w:rFonts w:ascii="Arial" w:cs="Arial" w:eastAsia="Arial" w:hAnsi="Arial"/>
          <w:sz w:val="16"/>
          <w:szCs w:val="16"/>
          <w:color w:val="auto"/>
        </w:rPr>
      </w:pPr>
    </w:p>
    <w:p>
      <w:pPr>
        <w:ind w:left="4" w:right="60" w:firstLine="436"/>
        <w:spacing w:after="0" w:line="284" w:lineRule="auto"/>
        <w:tabs>
          <w:tab w:leader="none" w:pos="699" w:val="left"/>
        </w:tabs>
        <w:numPr>
          <w:ilvl w:val="1"/>
          <w:numId w:val="282"/>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w:t>
      </w:r>
    </w:p>
    <w:p>
      <w:pPr>
        <w:ind w:left="4" w:right="40" w:hanging="4"/>
        <w:spacing w:after="0" w:line="284" w:lineRule="auto"/>
        <w:tabs>
          <w:tab w:leader="none" w:pos="25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4"/>
          </w:cols>
          <w:pgMar w:left="436" w:top="274" w:right="459" w:bottom="1440" w:gutter="0" w:footer="0" w:header="0"/>
        </w:sectPr>
      </w:pPr>
    </w:p>
    <w:bookmarkStart w:id="463" w:name="page464"/>
    <w:bookmarkEnd w:id="463"/>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4" w:lineRule="exact"/>
        <w:rPr>
          <w:sz w:val="20"/>
          <w:szCs w:val="20"/>
          <w:color w:val="auto"/>
        </w:rPr>
      </w:pPr>
    </w:p>
    <w:p>
      <w:pPr>
        <w:jc w:val="both"/>
        <w:ind w:right="300" w:firstLine="440"/>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0"/>
          </w:cols>
          <w:pgMar w:left="440" w:top="274" w:right="499" w:bottom="1440" w:gutter="0" w:footer="0" w:header="0"/>
        </w:sectPr>
      </w:pPr>
    </w:p>
    <w:bookmarkStart w:id="464" w:name="page465"/>
    <w:bookmarkEnd w:id="464"/>
    <w:p>
      <w:pPr>
        <w:ind w:left="4" w:right="60" w:firstLine="436"/>
        <w:spacing w:after="0" w:line="269" w:lineRule="auto"/>
        <w:tabs>
          <w:tab w:leader="none" w:pos="689" w:val="left"/>
        </w:tabs>
        <w:numPr>
          <w:ilvl w:val="0"/>
          <w:numId w:val="284"/>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Distributions other than Cash, Shares or Rights to Purchase Shares</w:t>
      </w:r>
      <w:r>
        <w:rPr>
          <w:rFonts w:ascii="Arial" w:cs="Arial" w:eastAsia="Arial" w:hAnsi="Arial"/>
          <w:sz w:val="17"/>
          <w:szCs w:val="17"/>
          <w:color w:val="auto"/>
        </w:rPr>
        <w:t>: Upon receipt of a notice indicating that the Company wishes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2"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ind w:left="4" w:right="220" w:hanging="4"/>
        <w:spacing w:after="0" w:line="253" w:lineRule="auto"/>
        <w:tabs>
          <w:tab w:leader="none" w:pos="26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93"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left="4" w:firstLine="436"/>
        <w:spacing w:after="0" w:line="285" w:lineRule="auto"/>
        <w:tabs>
          <w:tab w:leader="none" w:pos="789"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timely receipt of notice from the Company that it intends to exercise its right of redemption 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and satisfactory documentation, and, after consultation between the Depositary and the Custodian,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4"/>
          </w:cols>
          <w:pgMar w:left="436" w:top="274" w:right="459" w:bottom="1440" w:gutter="0" w:footer="0" w:header="0"/>
        </w:sectPr>
      </w:pPr>
    </w:p>
    <w:bookmarkStart w:id="465" w:name="page466"/>
    <w:bookmarkEnd w:id="465"/>
    <w:p>
      <w:pPr>
        <w:ind w:right="20" w:firstLine="436"/>
        <w:spacing w:after="0" w:line="286" w:lineRule="auto"/>
        <w:tabs>
          <w:tab w:leader="none" w:pos="785"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0" w:lineRule="exact"/>
        <w:rPr>
          <w:rFonts w:ascii="Arial" w:cs="Arial" w:eastAsia="Arial" w:hAnsi="Arial"/>
          <w:sz w:val="16"/>
          <w:szCs w:val="16"/>
          <w:b w:val="1"/>
          <w:bCs w:val="1"/>
          <w:color w:val="auto"/>
        </w:rPr>
      </w:pPr>
    </w:p>
    <w:p>
      <w:pPr>
        <w:ind w:firstLine="436"/>
        <w:spacing w:after="0" w:line="287" w:lineRule="auto"/>
        <w:tabs>
          <w:tab w:leader="none" w:pos="785"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270" w:right="459" w:bottom="1440" w:gutter="0" w:footer="0" w:header="0"/>
        </w:sectPr>
      </w:pPr>
    </w:p>
    <w:bookmarkStart w:id="466" w:name="page467"/>
    <w:bookmarkEnd w:id="466"/>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6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Depositary has been advised by the Company that the Articles of Association (as in effect on the date hereof), provide that voting at any meeting of shareholders is by show of hands unless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9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0"/>
          </w:cols>
          <w:pgMar w:left="440" w:top="274" w:right="459" w:bottom="1440" w:gutter="0" w:footer="0" w:header="0"/>
        </w:sectPr>
      </w:pPr>
    </w:p>
    <w:bookmarkStart w:id="467" w:name="page468"/>
    <w:bookmarkEnd w:id="467"/>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960"/>
          </w:cols>
          <w:pgMar w:left="440" w:top="274" w:right="499" w:bottom="1440" w:gutter="0" w:footer="0" w:header="0"/>
        </w:sectPr>
      </w:pPr>
    </w:p>
    <w:bookmarkStart w:id="468" w:name="page469"/>
    <w:bookmarkEnd w:id="468"/>
    <w:p>
      <w:pPr>
        <w:ind w:firstLine="436"/>
        <w:spacing w:after="0" w:line="284" w:lineRule="auto"/>
        <w:tabs>
          <w:tab w:leader="none" w:pos="785"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76" w:lineRule="exact"/>
        <w:rPr>
          <w:rFonts w:ascii="Arial" w:cs="Arial" w:eastAsia="Arial" w:hAnsi="Arial"/>
          <w:sz w:val="16"/>
          <w:szCs w:val="16"/>
          <w:b w:val="1"/>
          <w:bCs w:val="1"/>
          <w:color w:val="auto"/>
        </w:rPr>
      </w:pPr>
    </w:p>
    <w:p>
      <w:pPr>
        <w:ind w:right="20" w:firstLine="436"/>
        <w:spacing w:after="0" w:line="284" w:lineRule="auto"/>
        <w:tabs>
          <w:tab w:leader="none" w:pos="785"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obligated to do or perform any act which is inconsistent with the provisions of the Deposit Agreement or incur any liability (to the extent not limited by paragraph (25) hereof and Section 7.8 (b)) (i)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00"/>
          </w:cols>
          <w:pgMar w:left="440" w:top="270" w:right="459" w:bottom="1440" w:gutter="0" w:footer="0" w:header="0"/>
        </w:sectPr>
      </w:pPr>
    </w:p>
    <w:bookmarkStart w:id="469" w:name="page470"/>
    <w:bookmarkEnd w:id="469"/>
    <w:p>
      <w:pPr>
        <w:ind w:right="80" w:firstLine="436"/>
        <w:spacing w:after="0" w:line="254" w:lineRule="auto"/>
        <w:tabs>
          <w:tab w:leader="none" w:pos="785"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9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80"/>
          </w:cols>
          <w:pgMar w:left="440" w:top="270" w:right="479" w:bottom="1440" w:gutter="0" w:footer="0" w:header="0"/>
        </w:sectPr>
      </w:pPr>
    </w:p>
    <w:bookmarkStart w:id="470" w:name="page471"/>
    <w:bookmarkEnd w:id="470"/>
    <w:p>
      <w:pPr>
        <w:jc w:val="both"/>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83" w:lineRule="exact"/>
        <w:rPr>
          <w:sz w:val="20"/>
          <w:szCs w:val="20"/>
          <w:color w:val="auto"/>
        </w:rPr>
      </w:pPr>
    </w:p>
    <w:p>
      <w:pPr>
        <w:ind w:left="4" w:right="320" w:firstLine="436"/>
        <w:spacing w:after="0" w:line="293" w:lineRule="auto"/>
        <w:tabs>
          <w:tab w:leader="none" w:pos="789"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w:t>
      </w:r>
    </w:p>
    <w:p>
      <w:pPr>
        <w:spacing w:after="0" w:line="1" w:lineRule="exact"/>
        <w:rPr>
          <w:rFonts w:ascii="Arial" w:cs="Arial" w:eastAsia="Arial" w:hAnsi="Arial"/>
          <w:sz w:val="16"/>
          <w:szCs w:val="16"/>
          <w:b w:val="1"/>
          <w:bCs w:val="1"/>
          <w:color w:val="auto"/>
        </w:rPr>
      </w:pPr>
    </w:p>
    <w:p>
      <w:pPr>
        <w:ind w:left="4" w:right="60" w:hanging="4"/>
        <w:spacing w:after="0" w:line="266" w:lineRule="auto"/>
        <w:tabs>
          <w:tab w:leader="none" w:pos="21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04"/>
          </w:cols>
          <w:pgMar w:left="436" w:top="274" w:right="459" w:bottom="1440" w:gutter="0" w:footer="0" w:header="0"/>
        </w:sectPr>
      </w:pPr>
    </w:p>
    <w:bookmarkStart w:id="471" w:name="page472"/>
    <w:bookmarkEnd w:id="471"/>
    <w:p>
      <w:pPr>
        <w:ind w:left="-20" w:firstLine="436"/>
        <w:spacing w:after="0" w:line="284" w:lineRule="auto"/>
        <w:tabs>
          <w:tab w:leader="none" w:pos="765"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394" w:lineRule="exact"/>
        <w:rPr>
          <w:rFonts w:ascii="Arial" w:cs="Arial" w:eastAsia="Arial" w:hAnsi="Arial"/>
          <w:sz w:val="16"/>
          <w:szCs w:val="16"/>
          <w:b w:val="1"/>
          <w:bCs w:val="1"/>
          <w:color w:val="auto"/>
        </w:rPr>
      </w:pPr>
    </w:p>
    <w:p>
      <w:pPr>
        <w:ind w:left="-20" w:right="20" w:firstLine="436"/>
        <w:spacing w:after="0" w:line="284" w:lineRule="auto"/>
        <w:tabs>
          <w:tab w:leader="none" w:pos="765"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980"/>
          </w:cols>
          <w:pgMar w:left="460" w:top="270" w:right="459" w:bottom="1440" w:gutter="0" w:footer="0" w:header="0"/>
        </w:sectPr>
      </w:pPr>
    </w:p>
    <w:bookmarkStart w:id="472" w:name="page473"/>
    <w:bookmarkEnd w:id="472"/>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0" w:lineRule="exact"/>
        <w:rPr>
          <w:sz w:val="20"/>
          <w:szCs w:val="20"/>
          <w:color w:val="auto"/>
        </w:rPr>
      </w:pPr>
    </w:p>
    <w:p>
      <w:pPr>
        <w:ind w:firstLine="436"/>
        <w:spacing w:after="0" w:line="261" w:lineRule="auto"/>
        <w:tabs>
          <w:tab w:leader="none" w:pos="785"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(a) Notwithstanding any provisions in this ADR or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84" w:lineRule="exact"/>
        <w:rPr>
          <w:sz w:val="20"/>
          <w:szCs w:val="20"/>
          <w:color w:val="auto"/>
        </w:rPr>
      </w:pPr>
    </w:p>
    <w:p>
      <w:pPr>
        <w:jc w:val="both"/>
        <w:ind w:firstLine="436"/>
        <w:spacing w:after="0" w:line="263" w:lineRule="auto"/>
        <w:tabs>
          <w:tab w:leader="none" w:pos="69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40"/>
          </w:cols>
          <w:pgMar w:left="440" w:top="274" w:right="519" w:bottom="1440" w:gutter="0" w:footer="0" w:header="0"/>
        </w:sectPr>
      </w:pPr>
    </w:p>
    <w:bookmarkStart w:id="473" w:name="page474"/>
    <w:bookmarkEnd w:id="473"/>
    <w:p>
      <w:pPr>
        <w:ind w:left="4" w:right="160" w:firstLine="436"/>
        <w:spacing w:after="0" w:line="286" w:lineRule="auto"/>
        <w:tabs>
          <w:tab w:leader="none" w:pos="789" w:val="left"/>
        </w:tabs>
        <w:numPr>
          <w:ilvl w:val="1"/>
          <w:numId w:val="2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Third Party Beneficiaries/Acknowledgements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rFonts w:ascii="Arial" w:cs="Arial" w:eastAsia="Arial" w:hAnsi="Arial"/>
          <w:sz w:val="16"/>
          <w:szCs w:val="16"/>
          <w:b w:val="1"/>
          <w:bCs w:val="1"/>
          <w:color w:val="auto"/>
        </w:rPr>
      </w:pPr>
    </w:p>
    <w:p>
      <w:pPr>
        <w:ind w:left="4" w:right="260" w:hanging="4"/>
        <w:spacing w:after="0" w:line="281" w:lineRule="auto"/>
        <w:tabs>
          <w:tab w:leader="none" w:pos="26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Depositary and its Affiliates may from time to time have in their possession non-public information about the Company, the Holders, the</w:t>
      </w:r>
    </w:p>
    <w:p>
      <w:pPr>
        <w:spacing w:after="0" w:line="20" w:lineRule="exact"/>
        <w:rPr>
          <w:rFonts w:ascii="Arial" w:cs="Arial" w:eastAsia="Arial" w:hAnsi="Arial"/>
          <w:sz w:val="17"/>
          <w:szCs w:val="17"/>
          <w:color w:val="auto"/>
        </w:rPr>
      </w:pPr>
    </w:p>
    <w:p>
      <w:pPr>
        <w:ind w:left="4"/>
        <w:spacing w:after="0" w:line="287" w:lineRule="auto"/>
        <w:rPr>
          <w:rFonts w:ascii="Arial" w:cs="Arial" w:eastAsia="Arial" w:hAnsi="Arial"/>
          <w:sz w:val="17"/>
          <w:szCs w:val="17"/>
          <w:color w:val="auto"/>
        </w:rPr>
      </w:pPr>
      <w:r>
        <w:rPr>
          <w:rFonts w:ascii="Arial" w:cs="Arial" w:eastAsia="Arial" w:hAnsi="Arial"/>
          <w:sz w:val="16"/>
          <w:szCs w:val="16"/>
          <w:color w:val="auto"/>
        </w:rPr>
        <w:t>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65" w:lineRule="exact"/>
        <w:rPr>
          <w:rFonts w:ascii="Arial" w:cs="Arial" w:eastAsia="Arial" w:hAnsi="Arial"/>
          <w:sz w:val="17"/>
          <w:szCs w:val="17"/>
          <w:color w:val="auto"/>
        </w:rPr>
      </w:pPr>
    </w:p>
    <w:p>
      <w:pPr>
        <w:ind w:left="4" w:firstLine="436"/>
        <w:spacing w:after="0" w:line="256" w:lineRule="auto"/>
        <w:tabs>
          <w:tab w:leader="none" w:pos="789"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 Waiver of Jury Trial</w:t>
      </w:r>
      <w:r>
        <w:rPr>
          <w:rFonts w:ascii="Arial" w:cs="Arial" w:eastAsia="Arial" w:hAnsi="Arial"/>
          <w:sz w:val="18"/>
          <w:szCs w:val="18"/>
          <w:color w:val="auto"/>
        </w:rPr>
        <w:t>. The Deposit Agreement, the ADRs and the ADSs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7"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04"/>
          </w:cols>
          <w:pgMar w:left="436" w:top="270" w:right="459" w:bottom="1440" w:gutter="0" w:footer="0" w:header="0"/>
        </w:sectPr>
      </w:pPr>
    </w:p>
    <w:bookmarkStart w:id="474" w:name="page475"/>
    <w:bookmarkEnd w:id="4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NOTICE: The signature of the Holder to this assignment must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correspond with the name as written upon the face of the within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instrument in every particular, without alteration or enlargement or any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change whatsoever.</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If the endorsement be executed by an attorney, executor, administrator,</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trustee or guardian, the person executing the endorsement must give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his/her full title in such capacity and proper evidence of authority to act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in such capacity, if not on file with the Depositary, must be forwarded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with this ADR.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All endorsements or assignments of ADRs must be guaranteed by a</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member of a Medallion Signature Program approved by the Securities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Transfer Association, Inc.</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Legends</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40"/>
          </w:cols>
          <w:pgMar w:left="440" w:top="270" w:right="51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PureTech Health plc:</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consent to the use of our report included herein and to the reference to our firm under the heading “Statement by Experts” in Amendment No. 1 to the registration statement on Form 20-F.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 Canada Square London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E14 5GL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9/11/2020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
      <w:numFmt w:val="bullet"/>
      <w:start w:val="1"/>
    </w:lvl>
  </w:abstractNum>
  <w:abstractNum w:abstractNumId="3">
    <w:nsid w:val="46263DEC"/>
    <w:multiLevelType w:val="hybridMultilevel"/>
    <w:lvl w:ilvl="0">
      <w:lvlJc w:val="left"/>
      <w:lvlText w:val="*"/>
      <w:numFmt w:val="bullet"/>
      <w:start w:val="1"/>
    </w:lvl>
  </w:abstractNum>
  <w:abstractNum w:abstractNumId="4">
    <w:nsid w:val="260D8C4A"/>
    <w:multiLevelType w:val="hybridMultilevel"/>
    <w:lvl w:ilvl="0">
      <w:lvlJc w:val="left"/>
      <w:lvlText w:val="†"/>
      <w:numFmt w:val="bullet"/>
      <w:start w:val="1"/>
    </w:lvl>
  </w:abstractNum>
  <w:abstractNum w:abstractNumId="5">
    <w:nsid w:val="73D4D3C4"/>
    <w:multiLevelType w:val="hybridMultilevel"/>
    <w:lvl w:ilvl="0">
      <w:lvlJc w:val="left"/>
      <w:lvlText w:val="•"/>
      <w:numFmt w:val="bullet"/>
      <w:start w:val="1"/>
    </w:lvl>
  </w:abstractNum>
  <w:abstractNum w:abstractNumId="6">
    <w:nsid w:val="746F2E30"/>
    <w:multiLevelType w:val="hybridMultilevel"/>
    <w:lvl w:ilvl="0">
      <w:lvlJc w:val="left"/>
      <w:lvlText w:val="%1."/>
      <w:numFmt w:val="upperLetter"/>
      <w:start w:val="1"/>
    </w:lvl>
  </w:abstractNum>
  <w:abstractNum w:abstractNumId="7">
    <w:nsid w:val="6FDE8AF6"/>
    <w:multiLevelType w:val="hybridMultilevel"/>
    <w:lvl w:ilvl="0">
      <w:lvlJc w:val="left"/>
      <w:lvlText w:val="(%1)"/>
      <w:numFmt w:val="decimal"/>
      <w:start w:val="1"/>
    </w:lvl>
  </w:abstractNum>
  <w:abstractNum w:abstractNumId="8">
    <w:nsid w:val="3FC32E20"/>
    <w:multiLevelType w:val="hybridMultilevel"/>
    <w:lvl w:ilvl="0">
      <w:lvlJc w:val="left"/>
      <w:lvlText w:val="%1."/>
      <w:numFmt w:val="upperLetter"/>
      <w:start w:val="2"/>
    </w:lvl>
  </w:abstractNum>
  <w:abstractNum w:abstractNumId="9">
    <w:nsid w:val="49C0E823"/>
    <w:multiLevelType w:val="hybridMultilevel"/>
    <w:lvl w:ilvl="0">
      <w:lvlJc w:val="left"/>
      <w:lvlText w:val="%1."/>
      <w:numFmt w:val="upperLetter"/>
      <w:start w:val="3"/>
    </w:lvl>
  </w:abstractNum>
  <w:abstractNum w:abstractNumId="10">
    <w:nsid w:val="14D53685"/>
    <w:multiLevelType w:val="hybridMultilevel"/>
    <w:lvl w:ilvl="0">
      <w:lvlJc w:val="left"/>
      <w:lvlText w:val="%1."/>
      <w:numFmt w:val="upperLetter"/>
      <w:start w:val="1"/>
    </w:lvl>
  </w:abstractNum>
  <w:abstractNum w:abstractNumId="11">
    <w:nsid w:val="230F856C"/>
    <w:multiLevelType w:val="hybridMultilevel"/>
    <w:lvl w:ilvl="0">
      <w:lvlJc w:val="left"/>
      <w:lvlText w:val="(%1)"/>
      <w:numFmt w:val="decimal"/>
      <w:start w:val="1"/>
    </w:lvl>
  </w:abstractNum>
  <w:abstractNum w:abstractNumId="12">
    <w:nsid w:val="6EAA85FB"/>
    <w:multiLevelType w:val="hybridMultilevel"/>
    <w:lvl w:ilvl="0">
      <w:lvlJc w:val="left"/>
      <w:lvlText w:val="%1."/>
      <w:numFmt w:val="upperLetter"/>
      <w:start w:val="2"/>
    </w:lvl>
  </w:abstractNum>
  <w:abstractNum w:abstractNumId="13">
    <w:nsid w:val="3F06ECB2"/>
    <w:multiLevelType w:val="hybridMultilevel"/>
    <w:lvl w:ilvl="0">
      <w:lvlJc w:val="left"/>
      <w:lvlText w:val="%1."/>
      <w:numFmt w:val="upperLetter"/>
      <w:start w:val="3"/>
    </w:lvl>
  </w:abstractNum>
  <w:abstractNum w:abstractNumId="14">
    <w:nsid w:val="3B594807"/>
    <w:multiLevelType w:val="hybridMultilevel"/>
    <w:lvl w:ilvl="0">
      <w:lvlJc w:val="left"/>
      <w:lvlText w:val="•"/>
      <w:numFmt w:val="bullet"/>
      <w:start w:val="1"/>
    </w:lvl>
  </w:abstractNum>
  <w:abstractNum w:abstractNumId="15">
    <w:nsid w:val="6CAA2304"/>
    <w:multiLevelType w:val="hybridMultilevel"/>
    <w:lvl w:ilvl="0">
      <w:lvlJc w:val="left"/>
      <w:lvlText w:val="•"/>
      <w:numFmt w:val="bullet"/>
      <w:start w:val="1"/>
    </w:lvl>
  </w:abstractNum>
  <w:abstractNum w:abstractNumId="16">
    <w:nsid w:val="3F7C2FF4"/>
    <w:multiLevelType w:val="hybridMultilevel"/>
    <w:lvl w:ilvl="0">
      <w:lvlJc w:val="left"/>
      <w:lvlText w:val="•"/>
      <w:numFmt w:val="bullet"/>
      <w:start w:val="1"/>
    </w:lvl>
  </w:abstractNum>
  <w:abstractNum w:abstractNumId="17">
    <w:nsid w:val="25413BEC"/>
    <w:multiLevelType w:val="hybridMultilevel"/>
    <w:lvl w:ilvl="0">
      <w:lvlJc w:val="left"/>
      <w:lvlText w:val="•"/>
      <w:numFmt w:val="bullet"/>
      <w:start w:val="1"/>
    </w:lvl>
  </w:abstractNum>
  <w:abstractNum w:abstractNumId="18">
    <w:nsid w:val="17180B0B"/>
    <w:multiLevelType w:val="hybridMultilevel"/>
    <w:lvl w:ilvl="0">
      <w:lvlJc w:val="left"/>
      <w:lvlText w:val="•"/>
      <w:numFmt w:val="bullet"/>
      <w:start w:val="1"/>
    </w:lvl>
  </w:abstractNum>
  <w:abstractNum w:abstractNumId="19">
    <w:nsid w:val="579328B9"/>
    <w:multiLevelType w:val="hybridMultilevel"/>
    <w:lvl w:ilvl="0">
      <w:lvlJc w:val="left"/>
      <w:lvlText w:val="•"/>
      <w:numFmt w:val="bullet"/>
      <w:start w:val="1"/>
    </w:lvl>
  </w:abstractNum>
  <w:abstractNum w:abstractNumId="20">
    <w:nsid w:val="5D205E20"/>
    <w:multiLevelType w:val="hybridMultilevel"/>
    <w:lvl w:ilvl="0">
      <w:lvlJc w:val="left"/>
      <w:lvlText w:val="•"/>
      <w:numFmt w:val="bullet"/>
      <w:start w:val="1"/>
    </w:lvl>
  </w:abstractNum>
  <w:abstractNum w:abstractNumId="21">
    <w:nsid w:val="11CCA8BA"/>
    <w:multiLevelType w:val="hybridMultilevel"/>
    <w:lvl w:ilvl="0">
      <w:lvlJc w:val="left"/>
      <w:lvlText w:val="•"/>
      <w:numFmt w:val="bullet"/>
      <w:start w:val="1"/>
    </w:lvl>
  </w:abstractNum>
  <w:abstractNum w:abstractNumId="22">
    <w:nsid w:val="4D32AB86"/>
    <w:multiLevelType w:val="hybridMultilevel"/>
    <w:lvl w:ilvl="0">
      <w:lvlJc w:val="left"/>
      <w:lvlText w:val="•"/>
      <w:numFmt w:val="bullet"/>
      <w:start w:val="1"/>
    </w:lvl>
  </w:abstractNum>
  <w:abstractNum w:abstractNumId="23">
    <w:nsid w:val="3F07ACC3"/>
    <w:multiLevelType w:val="hybridMultilevel"/>
    <w:lvl w:ilvl="0">
      <w:lvlJc w:val="left"/>
      <w:lvlText w:val="•"/>
      <w:numFmt w:val="bullet"/>
      <w:start w:val="1"/>
    </w:lvl>
  </w:abstractNum>
  <w:abstractNum w:abstractNumId="24">
    <w:nsid w:val="6B47F63E"/>
    <w:multiLevelType w:val="hybridMultilevel"/>
    <w:lvl w:ilvl="0">
      <w:lvlJc w:val="left"/>
      <w:lvlText w:val="•"/>
      <w:numFmt w:val="bullet"/>
      <w:start w:val="1"/>
    </w:lvl>
  </w:abstractNum>
  <w:abstractNum w:abstractNumId="25">
    <w:nsid w:val="5CB44A05"/>
    <w:multiLevelType w:val="hybridMultilevel"/>
    <w:lvl w:ilvl="0">
      <w:lvlJc w:val="left"/>
      <w:lvlText w:val="•"/>
      <w:numFmt w:val="bullet"/>
      <w:start w:val="1"/>
    </w:lvl>
  </w:abstractNum>
  <w:abstractNum w:abstractNumId="26">
    <w:nsid w:val="16CF80F1"/>
    <w:multiLevelType w:val="hybridMultilevel"/>
    <w:lvl w:ilvl="0">
      <w:lvlJc w:val="left"/>
      <w:lvlText w:val="•"/>
      <w:numFmt w:val="bullet"/>
      <w:start w:val="1"/>
    </w:lvl>
  </w:abstractNum>
  <w:abstractNum w:abstractNumId="27">
    <w:nsid w:val="1C695DEC"/>
    <w:multiLevelType w:val="hybridMultilevel"/>
    <w:lvl w:ilvl="0">
      <w:lvlJc w:val="left"/>
      <w:lvlText w:val="•"/>
      <w:numFmt w:val="bullet"/>
      <w:start w:val="1"/>
    </w:lvl>
  </w:abstractNum>
  <w:abstractNum w:abstractNumId="28">
    <w:nsid w:val="3FCFAED9"/>
    <w:multiLevelType w:val="hybridMultilevel"/>
    <w:lvl w:ilvl="0">
      <w:lvlJc w:val="left"/>
      <w:lvlText w:val="•"/>
      <w:numFmt w:val="bullet"/>
      <w:start w:val="1"/>
    </w:lvl>
  </w:abstractNum>
  <w:abstractNum w:abstractNumId="29">
    <w:nsid w:val="F856867"/>
    <w:multiLevelType w:val="hybridMultilevel"/>
    <w:lvl w:ilvl="0">
      <w:lvlJc w:val="left"/>
      <w:lvlText w:val="•"/>
      <w:numFmt w:val="bullet"/>
      <w:start w:val="1"/>
    </w:lvl>
  </w:abstractNum>
  <w:abstractNum w:abstractNumId="30">
    <w:nsid w:val="11B1CC33"/>
    <w:multiLevelType w:val="hybridMultilevel"/>
    <w:lvl w:ilvl="0">
      <w:lvlJc w:val="left"/>
      <w:lvlText w:val="•"/>
      <w:numFmt w:val="bullet"/>
      <w:start w:val="1"/>
    </w:lvl>
  </w:abstractNum>
  <w:abstractNum w:abstractNumId="31">
    <w:nsid w:val="2E22FBB7"/>
    <w:multiLevelType w:val="hybridMultilevel"/>
    <w:lvl w:ilvl="0">
      <w:lvlJc w:val="left"/>
      <w:lvlText w:val="(%1)"/>
      <w:numFmt w:val="lowerRoman"/>
      <w:start w:val="3"/>
    </w:lvl>
  </w:abstractNum>
  <w:abstractNum w:abstractNumId="32">
    <w:nsid w:val="29934699"/>
    <w:multiLevelType w:val="hybridMultilevel"/>
    <w:lvl w:ilvl="0">
      <w:lvlJc w:val="left"/>
      <w:lvlText w:val="(%1)"/>
      <w:numFmt w:val="decimal"/>
      <w:start w:val="2"/>
    </w:lvl>
  </w:abstractNum>
  <w:abstractNum w:abstractNumId="33">
    <w:nsid w:val="77485850"/>
    <w:multiLevelType w:val="hybridMultilevel"/>
    <w:lvl w:ilvl="0">
      <w:lvlJc w:val="left"/>
      <w:lvlText w:val="•"/>
      <w:numFmt w:val="bullet"/>
      <w:start w:val="1"/>
    </w:lvl>
  </w:abstractNum>
  <w:abstractNum w:abstractNumId="34">
    <w:nsid w:val="744939A3"/>
    <w:multiLevelType w:val="hybridMultilevel"/>
    <w:lvl w:ilvl="0">
      <w:lvlJc w:val="left"/>
      <w:lvlText w:val="•"/>
      <w:numFmt w:val="bullet"/>
      <w:start w:val="1"/>
    </w:lvl>
  </w:abstractNum>
  <w:abstractNum w:abstractNumId="35">
    <w:nsid w:val="4FA0D2E3"/>
    <w:multiLevelType w:val="hybridMultilevel"/>
    <w:lvl w:ilvl="0">
      <w:lvlJc w:val="left"/>
      <w:lvlText w:val="•"/>
      <w:numFmt w:val="bullet"/>
      <w:start w:val="1"/>
    </w:lvl>
  </w:abstractNum>
  <w:abstractNum w:abstractNumId="36">
    <w:nsid w:val="6B1D2C14"/>
    <w:multiLevelType w:val="hybridMultilevel"/>
    <w:lvl w:ilvl="0">
      <w:lvlJc w:val="left"/>
      <w:lvlText w:val="•"/>
      <w:numFmt w:val="bullet"/>
      <w:start w:val="1"/>
    </w:lvl>
  </w:abstractNum>
  <w:abstractNum w:abstractNumId="37">
    <w:nsid w:val="68B867D3"/>
    <w:multiLevelType w:val="hybridMultilevel"/>
    <w:lvl w:ilvl="0">
      <w:lvlJc w:val="left"/>
      <w:lvlText w:val="•"/>
      <w:numFmt w:val="bullet"/>
      <w:start w:val="1"/>
    </w:lvl>
  </w:abstractNum>
  <w:abstractNum w:abstractNumId="38">
    <w:nsid w:val="3F7F5DD9"/>
    <w:multiLevelType w:val="hybridMultilevel"/>
    <w:lvl w:ilvl="0">
      <w:lvlJc w:val="left"/>
      <w:lvlText w:val="•"/>
      <w:numFmt w:val="bullet"/>
      <w:start w:val="1"/>
    </w:lvl>
  </w:abstractNum>
  <w:abstractNum w:abstractNumId="39">
    <w:nsid w:val="2AE05A34"/>
    <w:multiLevelType w:val="hybridMultilevel"/>
    <w:lvl w:ilvl="0">
      <w:lvlJc w:val="left"/>
      <w:lvlText w:val="•"/>
      <w:numFmt w:val="bullet"/>
      <w:start w:val="1"/>
    </w:lvl>
  </w:abstractNum>
  <w:abstractNum w:abstractNumId="40">
    <w:nsid w:val="32794FF7"/>
    <w:multiLevelType w:val="hybridMultilevel"/>
    <w:lvl w:ilvl="0">
      <w:lvlJc w:val="left"/>
      <w:lvlText w:val="•"/>
      <w:numFmt w:val="bullet"/>
      <w:start w:val="1"/>
    </w:lvl>
  </w:abstractNum>
  <w:abstractNum w:abstractNumId="41">
    <w:nsid w:val="5454945E"/>
    <w:multiLevelType w:val="hybridMultilevel"/>
    <w:lvl w:ilvl="0">
      <w:lvlJc w:val="left"/>
      <w:lvlText w:val="•"/>
      <w:numFmt w:val="bullet"/>
      <w:start w:val="1"/>
    </w:lvl>
  </w:abstractNum>
  <w:abstractNum w:abstractNumId="42">
    <w:nsid w:val="4DEFDFA0"/>
    <w:multiLevelType w:val="hybridMultilevel"/>
    <w:lvl w:ilvl="0">
      <w:lvlJc w:val="left"/>
      <w:lvlText w:val="•"/>
      <w:numFmt w:val="bullet"/>
      <w:start w:val="1"/>
    </w:lvl>
  </w:abstractNum>
  <w:abstractNum w:abstractNumId="43">
    <w:nsid w:val="2123D5F2"/>
    <w:multiLevelType w:val="hybridMultilevel"/>
    <w:lvl w:ilvl="0">
      <w:lvlJc w:val="left"/>
      <w:lvlText w:val="•"/>
      <w:numFmt w:val="bullet"/>
      <w:start w:val="1"/>
    </w:lvl>
  </w:abstractNum>
  <w:abstractNum w:abstractNumId="44">
    <w:nsid w:val="135B8110"/>
    <w:multiLevelType w:val="hybridMultilevel"/>
    <w:lvl w:ilvl="0">
      <w:lvlJc w:val="left"/>
      <w:lvlText w:val="•"/>
      <w:numFmt w:val="bullet"/>
      <w:start w:val="1"/>
    </w:lvl>
    <w:lvl w:ilvl="1">
      <w:lvlJc w:val="left"/>
      <w:lvlText w:val="•"/>
      <w:numFmt w:val="bullet"/>
      <w:start w:val="1"/>
    </w:lvl>
  </w:abstractNum>
  <w:abstractNum w:abstractNumId="45">
    <w:nsid w:val="94927A8"/>
    <w:multiLevelType w:val="hybridMultilevel"/>
    <w:lvl w:ilvl="0">
      <w:lvlJc w:val="left"/>
      <w:lvlText w:val="•"/>
      <w:numFmt w:val="bullet"/>
      <w:start w:val="1"/>
    </w:lvl>
    <w:lvl w:ilvl="1">
      <w:lvlJc w:val="left"/>
      <w:lvlText w:val="•"/>
      <w:numFmt w:val="bullet"/>
      <w:start w:val="1"/>
    </w:lvl>
  </w:abstractNum>
  <w:abstractNum w:abstractNumId="46">
    <w:nsid w:val="DCDF8F6"/>
    <w:multiLevelType w:val="hybridMultilevel"/>
    <w:lvl w:ilvl="0">
      <w:lvlJc w:val="left"/>
      <w:lvlText w:val="•"/>
      <w:numFmt w:val="bullet"/>
      <w:start w:val="1"/>
    </w:lvl>
  </w:abstractNum>
  <w:abstractNum w:abstractNumId="47">
    <w:nsid w:val="52D7B105"/>
    <w:multiLevelType w:val="hybridMultilevel"/>
    <w:lvl w:ilvl="0">
      <w:lvlJc w:val="left"/>
      <w:lvlText w:val="•"/>
      <w:numFmt w:val="bullet"/>
      <w:start w:val="1"/>
    </w:lvl>
  </w:abstractNum>
  <w:abstractNum w:abstractNumId="48">
    <w:nsid w:val="2E8A6394"/>
    <w:multiLevelType w:val="hybridMultilevel"/>
    <w:lvl w:ilvl="0">
      <w:lvlJc w:val="left"/>
      <w:lvlText w:val="•"/>
      <w:numFmt w:val="bullet"/>
      <w:start w:val="1"/>
    </w:lvl>
  </w:abstractNum>
  <w:abstractNum w:abstractNumId="49">
    <w:nsid w:val="24E60401"/>
    <w:multiLevelType w:val="hybridMultilevel"/>
    <w:lvl w:ilvl="0">
      <w:lvlJc w:val="left"/>
      <w:lvlText w:val="•"/>
      <w:numFmt w:val="bullet"/>
      <w:start w:val="1"/>
    </w:lvl>
  </w:abstractNum>
  <w:abstractNum w:abstractNumId="50">
    <w:nsid w:val="2A6AD9BE"/>
    <w:multiLevelType w:val="hybridMultilevel"/>
    <w:lvl w:ilvl="0">
      <w:lvlJc w:val="left"/>
      <w:lvlText w:val="(%1)"/>
      <w:numFmt w:val="lowerRoman"/>
      <w:start w:val="1"/>
    </w:lvl>
  </w:abstractNum>
  <w:abstractNum w:abstractNumId="51">
    <w:nsid w:val="BAAC1B4"/>
    <w:multiLevelType w:val="hybridMultilevel"/>
    <w:lvl w:ilvl="0">
      <w:lvlJc w:val="left"/>
      <w:lvlText w:val="(%1)"/>
      <w:numFmt w:val="lowerRoman"/>
      <w:start w:val="4"/>
    </w:lvl>
  </w:abstractNum>
  <w:abstractNum w:abstractNumId="52">
    <w:nsid w:val="36B2ACBC"/>
    <w:multiLevelType w:val="hybridMultilevel"/>
    <w:lvl w:ilvl="0">
      <w:lvlJc w:val="left"/>
      <w:lvlText w:val="•"/>
      <w:numFmt w:val="bullet"/>
      <w:start w:val="1"/>
    </w:lvl>
  </w:abstractNum>
  <w:abstractNum w:abstractNumId="53">
    <w:nsid w:val="779D8544"/>
    <w:multiLevelType w:val="hybridMultilevel"/>
    <w:lvl w:ilvl="0">
      <w:lvlJc w:val="left"/>
      <w:lvlText w:val="•"/>
      <w:numFmt w:val="bullet"/>
      <w:start w:val="1"/>
    </w:lvl>
  </w:abstractNum>
  <w:abstractNum w:abstractNumId="54">
    <w:nsid w:val="4AB26E78"/>
    <w:multiLevelType w:val="hybridMultilevel"/>
    <w:lvl w:ilvl="0">
      <w:lvlJc w:val="left"/>
      <w:lvlText w:val="•"/>
      <w:numFmt w:val="bullet"/>
      <w:start w:val="1"/>
    </w:lvl>
  </w:abstractNum>
  <w:abstractNum w:abstractNumId="55">
    <w:nsid w:val="21FAA2FA"/>
    <w:multiLevelType w:val="hybridMultilevel"/>
    <w:lvl w:ilvl="0">
      <w:lvlJc w:val="left"/>
      <w:lvlText w:val="%1."/>
      <w:numFmt w:val="upperLetter"/>
      <w:start w:val="1"/>
    </w:lvl>
  </w:abstractNum>
  <w:abstractNum w:abstractNumId="56">
    <w:nsid w:val="5451CF49"/>
    <w:multiLevelType w:val="hybridMultilevel"/>
    <w:lvl w:ilvl="0">
      <w:lvlJc w:val="left"/>
      <w:lvlText w:val="%1."/>
      <w:numFmt w:val="upperLetter"/>
      <w:start w:val="2"/>
    </w:lvl>
  </w:abstractNum>
  <w:abstractNum w:abstractNumId="57">
    <w:nsid w:val="6181EF69"/>
    <w:multiLevelType w:val="hybridMultilevel"/>
    <w:lvl w:ilvl="0">
      <w:lvlJc w:val="left"/>
      <w:lvlText w:val="(%1)"/>
      <w:numFmt w:val="decimal"/>
      <w:start w:val="1"/>
    </w:lvl>
  </w:abstractNum>
  <w:abstractNum w:abstractNumId="58">
    <w:nsid w:val="3E6400E6"/>
    <w:multiLevelType w:val="hybridMultilevel"/>
    <w:lvl w:ilvl="0">
      <w:lvlJc w:val="left"/>
      <w:lvlText w:val="*"/>
      <w:numFmt w:val="bullet"/>
      <w:start w:val="1"/>
    </w:lvl>
  </w:abstractNum>
  <w:abstractNum w:abstractNumId="59">
    <w:nsid w:val="14217E23"/>
    <w:multiLevelType w:val="hybridMultilevel"/>
    <w:lvl w:ilvl="0">
      <w:lvlJc w:val="left"/>
      <w:lvlText w:val="**"/>
      <w:numFmt w:val="bullet"/>
      <w:start w:val="1"/>
    </w:lvl>
  </w:abstractNum>
  <w:abstractNum w:abstractNumId="60">
    <w:nsid w:val="710757D0"/>
    <w:multiLevelType w:val="hybridMultilevel"/>
    <w:lvl w:ilvl="0">
      <w:lvlJc w:val="left"/>
      <w:lvlText w:val="***"/>
      <w:numFmt w:val="bullet"/>
      <w:start w:val="1"/>
    </w:lvl>
  </w:abstractNum>
  <w:abstractNum w:abstractNumId="61">
    <w:nsid w:val="5015CD1A"/>
    <w:multiLevelType w:val="hybridMultilevel"/>
    <w:lvl w:ilvl="0">
      <w:lvlJc w:val="left"/>
      <w:lvlText w:val="R"/>
      <w:numFmt w:val="bullet"/>
      <w:start w:val="1"/>
    </w:lvl>
  </w:abstractNum>
  <w:abstractNum w:abstractNumId="62">
    <w:nsid w:val="424479DA"/>
    <w:multiLevelType w:val="hybridMultilevel"/>
    <w:lvl w:ilvl="0">
      <w:lvlJc w:val="left"/>
      <w:lvlText w:val="†"/>
      <w:numFmt w:val="bullet"/>
      <w:start w:val="1"/>
    </w:lvl>
  </w:abstractNum>
  <w:abstractNum w:abstractNumId="63">
    <w:nsid w:val="1A9A9E69"/>
    <w:multiLevelType w:val="hybridMultilevel"/>
    <w:lvl w:ilvl="0">
      <w:lvlJc w:val="left"/>
      <w:lvlText w:val="‡"/>
      <w:numFmt w:val="bullet"/>
      <w:start w:val="1"/>
    </w:lvl>
  </w:abstractNum>
  <w:abstractNum w:abstractNumId="64">
    <w:nsid w:val="475E256A"/>
    <w:multiLevelType w:val="hybridMultilevel"/>
    <w:lvl w:ilvl="0">
      <w:lvlJc w:val="left"/>
      <w:lvlText w:val="‡‡"/>
      <w:numFmt w:val="bullet"/>
      <w:start w:val="1"/>
    </w:lvl>
  </w:abstractNum>
  <w:abstractNum w:abstractNumId="65">
    <w:nsid w:val="368DB37E"/>
    <w:multiLevelType w:val="hybridMultilevel"/>
    <w:lvl w:ilvl="0">
      <w:lvlJc w:val="left"/>
      <w:lvlText w:val="•"/>
      <w:numFmt w:val="bullet"/>
      <w:start w:val="1"/>
    </w:lvl>
  </w:abstractNum>
  <w:abstractNum w:abstractNumId="66">
    <w:nsid w:val="6A3B714C"/>
    <w:multiLevelType w:val="hybridMultilevel"/>
    <w:lvl w:ilvl="0">
      <w:lvlJc w:val="left"/>
      <w:lvlText w:val="•"/>
      <w:numFmt w:val="bullet"/>
      <w:start w:val="1"/>
    </w:lvl>
  </w:abstractNum>
  <w:abstractNum w:abstractNumId="67">
    <w:nsid w:val="327B517E"/>
    <w:multiLevelType w:val="hybridMultilevel"/>
    <w:lvl w:ilvl="0">
      <w:lvlJc w:val="left"/>
      <w:lvlText w:val="•"/>
      <w:numFmt w:val="bullet"/>
      <w:start w:val="1"/>
    </w:lvl>
  </w:abstractNum>
  <w:abstractNum w:abstractNumId="68">
    <w:nsid w:val="1F461B51"/>
    <w:multiLevelType w:val="hybridMultilevel"/>
    <w:lvl w:ilvl="0">
      <w:lvlJc w:val="left"/>
      <w:lvlText w:val="•"/>
      <w:numFmt w:val="bullet"/>
      <w:start w:val="1"/>
    </w:lvl>
  </w:abstractNum>
  <w:abstractNum w:abstractNumId="69">
    <w:nsid w:val="29BACF25"/>
    <w:multiLevelType w:val="hybridMultilevel"/>
    <w:lvl w:ilvl="0">
      <w:lvlJc w:val="left"/>
      <w:lvlText w:val="•"/>
      <w:numFmt w:val="bullet"/>
      <w:start w:val="1"/>
    </w:lvl>
  </w:abstractNum>
  <w:abstractNum w:abstractNumId="70">
    <w:nsid w:val="5D5BABB3"/>
    <w:multiLevelType w:val="hybridMultilevel"/>
    <w:lvl w:ilvl="0">
      <w:lvlJc w:val="left"/>
      <w:lvlText w:val="*"/>
      <w:numFmt w:val="bullet"/>
      <w:start w:val="1"/>
    </w:lvl>
  </w:abstractNum>
  <w:abstractNum w:abstractNumId="71">
    <w:nsid w:val="51BF6B48"/>
    <w:multiLevelType w:val="hybridMultilevel"/>
    <w:lvl w:ilvl="0">
      <w:lvlJc w:val="left"/>
      <w:lvlText w:val="**"/>
      <w:numFmt w:val="bullet"/>
      <w:start w:val="1"/>
    </w:lvl>
  </w:abstractNum>
  <w:abstractNum w:abstractNumId="72">
    <w:nsid w:val="7E0F6384"/>
    <w:multiLevelType w:val="hybridMultilevel"/>
    <w:lvl w:ilvl="0">
      <w:lvlJc w:val="left"/>
      <w:lvlText w:val="•"/>
      <w:numFmt w:val="bullet"/>
      <w:start w:val="1"/>
    </w:lvl>
  </w:abstractNum>
  <w:abstractNum w:abstractNumId="73">
    <w:nsid w:val="2B4B8B53"/>
    <w:multiLevelType w:val="hybridMultilevel"/>
    <w:lvl w:ilvl="0">
      <w:lvlJc w:val="left"/>
      <w:lvlText w:val="•"/>
      <w:numFmt w:val="bullet"/>
      <w:start w:val="1"/>
    </w:lvl>
  </w:abstractNum>
  <w:abstractNum w:abstractNumId="74">
    <w:nsid w:val="72E3413A"/>
    <w:multiLevelType w:val="hybridMultilevel"/>
    <w:lvl w:ilvl="0">
      <w:lvlJc w:val="left"/>
      <w:lvlText w:val="•"/>
      <w:numFmt w:val="bullet"/>
      <w:start w:val="1"/>
    </w:lvl>
    <w:lvl w:ilvl="1">
      <w:lvlJc w:val="left"/>
      <w:lvlText w:val="•"/>
      <w:numFmt w:val="bullet"/>
      <w:start w:val="1"/>
    </w:lvl>
  </w:abstractNum>
  <w:abstractNum w:abstractNumId="75">
    <w:nsid w:val="116AE494"/>
    <w:multiLevelType w:val="hybridMultilevel"/>
    <w:lvl w:ilvl="0">
      <w:lvlJc w:val="left"/>
      <w:lvlText w:val="•"/>
      <w:numFmt w:val="bullet"/>
      <w:start w:val="1"/>
    </w:lvl>
    <w:lvl w:ilvl="1">
      <w:lvlJc w:val="left"/>
      <w:lvlText w:val="•"/>
      <w:numFmt w:val="bullet"/>
      <w:start w:val="1"/>
    </w:lvl>
  </w:abstractNum>
  <w:abstractNum w:abstractNumId="76">
    <w:nsid w:val="3494B2FB"/>
    <w:multiLevelType w:val="hybridMultilevel"/>
    <w:lvl w:ilvl="0">
      <w:lvlJc w:val="left"/>
      <w:lvlText w:val="•"/>
      <w:numFmt w:val="bullet"/>
      <w:start w:val="1"/>
    </w:lvl>
  </w:abstractNum>
  <w:abstractNum w:abstractNumId="77">
    <w:nsid w:val="B13A31"/>
    <w:multiLevelType w:val="hybridMultilevel"/>
    <w:lvl w:ilvl="0">
      <w:lvlJc w:val="left"/>
      <w:lvlText w:val="*"/>
      <w:numFmt w:val="bullet"/>
      <w:start w:val="1"/>
    </w:lvl>
  </w:abstractNum>
  <w:abstractNum w:abstractNumId="78">
    <w:nsid w:val="64429599"/>
    <w:multiLevelType w:val="hybridMultilevel"/>
    <w:lvl w:ilvl="0">
      <w:lvlJc w:val="left"/>
      <w:lvlText w:val="•"/>
      <w:numFmt w:val="bullet"/>
      <w:start w:val="1"/>
    </w:lvl>
  </w:abstractNum>
  <w:abstractNum w:abstractNumId="79">
    <w:nsid w:val="631F1690"/>
    <w:multiLevelType w:val="hybridMultilevel"/>
    <w:lvl w:ilvl="0">
      <w:lvlJc w:val="left"/>
      <w:lvlText w:val="•"/>
      <w:numFmt w:val="bullet"/>
      <w:start w:val="1"/>
    </w:lvl>
  </w:abstractNum>
  <w:abstractNum w:abstractNumId="80">
    <w:nsid w:val="25973E32"/>
    <w:multiLevelType w:val="hybridMultilevel"/>
    <w:lvl w:ilvl="0">
      <w:lvlJc w:val="left"/>
      <w:lvlText w:val="•"/>
      <w:numFmt w:val="bullet"/>
      <w:start w:val="1"/>
    </w:lvl>
  </w:abstractNum>
  <w:abstractNum w:abstractNumId="81">
    <w:nsid w:val="EAD6F57"/>
    <w:multiLevelType w:val="hybridMultilevel"/>
    <w:lvl w:ilvl="0">
      <w:lvlJc w:val="left"/>
      <w:lvlText w:val="•"/>
      <w:numFmt w:val="bullet"/>
      <w:start w:val="1"/>
    </w:lvl>
  </w:abstractNum>
  <w:abstractNum w:abstractNumId="82">
    <w:nsid w:val="6EC9D844"/>
    <w:multiLevelType w:val="hybridMultilevel"/>
    <w:lvl w:ilvl="0">
      <w:lvlJc w:val="left"/>
      <w:lvlText w:val="•"/>
      <w:numFmt w:val="bullet"/>
      <w:start w:val="1"/>
    </w:lvl>
  </w:abstractNum>
  <w:abstractNum w:abstractNumId="83">
    <w:nsid w:val="5C49EAEE"/>
    <w:multiLevelType w:val="hybridMultilevel"/>
    <w:lvl w:ilvl="0">
      <w:lvlJc w:val="left"/>
      <w:lvlText w:val="•"/>
      <w:numFmt w:val="bullet"/>
      <w:start w:val="1"/>
    </w:lvl>
  </w:abstractNum>
  <w:abstractNum w:abstractNumId="84">
    <w:nsid w:val="64AF49B"/>
    <w:multiLevelType w:val="hybridMultilevel"/>
    <w:lvl w:ilvl="0">
      <w:lvlJc w:val="left"/>
      <w:lvlText w:val="*"/>
      <w:numFmt w:val="bullet"/>
      <w:start w:val="1"/>
    </w:lvl>
  </w:abstractNum>
  <w:abstractNum w:abstractNumId="85">
    <w:nsid w:val="397C46BC"/>
    <w:multiLevelType w:val="hybridMultilevel"/>
    <w:lvl w:ilvl="0">
      <w:lvlJc w:val="left"/>
      <w:lvlText w:val="R"/>
      <w:numFmt w:val="bullet"/>
      <w:start w:val="1"/>
    </w:lvl>
  </w:abstractNum>
  <w:abstractNum w:abstractNumId="86">
    <w:nsid w:val="7E448DE9"/>
    <w:multiLevelType w:val="hybridMultilevel"/>
    <w:lvl w:ilvl="0">
      <w:lvlJc w:val="left"/>
      <w:lvlText w:val="%1"/>
      <w:numFmt w:val="upperLetter"/>
      <w:start w:val="61"/>
    </w:lvl>
  </w:abstractNum>
  <w:abstractNum w:abstractNumId="87">
    <w:nsid w:val="5A9CC3E5"/>
    <w:multiLevelType w:val="hybridMultilevel"/>
    <w:lvl w:ilvl="0">
      <w:lvlJc w:val="left"/>
      <w:lvlText w:val="*"/>
      <w:numFmt w:val="bullet"/>
      <w:start w:val="1"/>
    </w:lvl>
  </w:abstractNum>
  <w:abstractNum w:abstractNumId="88">
    <w:nsid w:val="1AFE3625"/>
    <w:multiLevelType w:val="hybridMultilevel"/>
    <w:lvl w:ilvl="0">
      <w:lvlJc w:val="left"/>
      <w:lvlText w:val="**"/>
      <w:numFmt w:val="bullet"/>
      <w:start w:val="1"/>
    </w:lvl>
  </w:abstractNum>
  <w:abstractNum w:abstractNumId="89">
    <w:nsid w:val="3CA88ECF"/>
    <w:multiLevelType w:val="hybridMultilevel"/>
    <w:lvl w:ilvl="0">
      <w:lvlJc w:val="left"/>
      <w:lvlText w:val="***"/>
      <w:numFmt w:val="bullet"/>
      <w:start w:val="1"/>
    </w:lvl>
  </w:abstractNum>
  <w:abstractNum w:abstractNumId="90">
    <w:nsid w:val="6EBE4208"/>
    <w:multiLevelType w:val="hybridMultilevel"/>
    <w:lvl w:ilvl="0">
      <w:lvlJc w:val="left"/>
      <w:lvlText w:val="*"/>
      <w:numFmt w:val="bullet"/>
      <w:start w:val="1"/>
    </w:lvl>
  </w:abstractNum>
  <w:abstractNum w:abstractNumId="91">
    <w:nsid w:val="C058DF5"/>
    <w:multiLevelType w:val="hybridMultilevel"/>
    <w:lvl w:ilvl="0">
      <w:lvlJc w:val="left"/>
      <w:lvlText w:val="•"/>
      <w:numFmt w:val="bullet"/>
      <w:start w:val="1"/>
    </w:lvl>
  </w:abstractNum>
  <w:abstractNum w:abstractNumId="92">
    <w:nsid w:val="CBE5BE9"/>
    <w:multiLevelType w:val="hybridMultilevel"/>
    <w:lvl w:ilvl="0">
      <w:lvlJc w:val="left"/>
      <w:lvlText w:val="•"/>
      <w:numFmt w:val="bullet"/>
      <w:start w:val="1"/>
    </w:lvl>
  </w:abstractNum>
  <w:abstractNum w:abstractNumId="93">
    <w:nsid w:val="3102BBE2"/>
    <w:multiLevelType w:val="hybridMultilevel"/>
    <w:lvl w:ilvl="0">
      <w:lvlJc w:val="left"/>
      <w:lvlText w:val="•"/>
      <w:numFmt w:val="bullet"/>
      <w:start w:val="1"/>
    </w:lvl>
  </w:abstractNum>
  <w:abstractNum w:abstractNumId="94">
    <w:nsid w:val="26A02C5E"/>
    <w:multiLevelType w:val="hybridMultilevel"/>
    <w:lvl w:ilvl="0">
      <w:lvlJc w:val="left"/>
      <w:lvlText w:val="•"/>
      <w:numFmt w:val="bullet"/>
      <w:start w:val="1"/>
    </w:lvl>
  </w:abstractNum>
  <w:abstractNum w:abstractNumId="95">
    <w:nsid w:val="541C8153"/>
    <w:multiLevelType w:val="hybridMultilevel"/>
    <w:lvl w:ilvl="0">
      <w:lvlJc w:val="left"/>
      <w:lvlText w:val="•"/>
      <w:numFmt w:val="bullet"/>
      <w:start w:val="1"/>
    </w:lvl>
  </w:abstractNum>
  <w:abstractNum w:abstractNumId="96">
    <w:nsid w:val="67906F60"/>
    <w:multiLevelType w:val="hybridMultilevel"/>
    <w:lvl w:ilvl="0">
      <w:lvlJc w:val="left"/>
      <w:lvlText w:val="•"/>
      <w:numFmt w:val="bullet"/>
      <w:start w:val="1"/>
    </w:lvl>
  </w:abstractNum>
  <w:abstractNum w:abstractNumId="97">
    <w:nsid w:val="10DB9DAA"/>
    <w:multiLevelType w:val="hybridMultilevel"/>
    <w:lvl w:ilvl="0">
      <w:lvlJc w:val="left"/>
      <w:lvlText w:val="(%1)"/>
      <w:numFmt w:val="decimal"/>
      <w:start w:val="2"/>
    </w:lvl>
    <w:lvl w:ilvl="1">
      <w:lvlJc w:val="left"/>
      <w:lvlText w:val="•"/>
      <w:numFmt w:val="bullet"/>
      <w:start w:val="1"/>
    </w:lvl>
  </w:abstractNum>
  <w:abstractNum w:abstractNumId="98">
    <w:nsid w:val="697D2D2"/>
    <w:multiLevelType w:val="hybridMultilevel"/>
    <w:lvl w:ilvl="0">
      <w:lvlJc w:val="left"/>
      <w:lvlText w:val="•"/>
      <w:numFmt w:val="bullet"/>
      <w:start w:val="1"/>
    </w:lvl>
  </w:abstractNum>
  <w:abstractNum w:abstractNumId="99">
    <w:nsid w:val="6D68AB2"/>
    <w:multiLevelType w:val="hybridMultilevel"/>
    <w:lvl w:ilvl="0">
      <w:lvlJc w:val="left"/>
      <w:lvlText w:val="%1"/>
      <w:numFmt w:val="upperLetter"/>
      <w:start w:val="61"/>
    </w:lvl>
  </w:abstractNum>
  <w:abstractNum w:abstractNumId="100">
    <w:nsid w:val="3A966CD0"/>
    <w:multiLevelType w:val="hybridMultilevel"/>
    <w:lvl w:ilvl="0">
      <w:lvlJc w:val="left"/>
      <w:lvlText w:val="•"/>
      <w:numFmt w:val="bullet"/>
      <w:start w:val="1"/>
    </w:lvl>
  </w:abstractNum>
  <w:abstractNum w:abstractNumId="101">
    <w:nsid w:val="63F37E85"/>
    <w:multiLevelType w:val="hybridMultilevel"/>
    <w:lvl w:ilvl="0">
      <w:lvlJc w:val="left"/>
      <w:lvlText w:val="•"/>
      <w:numFmt w:val="bullet"/>
      <w:start w:val="1"/>
    </w:lvl>
  </w:abstractNum>
  <w:abstractNum w:abstractNumId="102">
    <w:nsid w:val="5895F5FA"/>
    <w:multiLevelType w:val="hybridMultilevel"/>
    <w:lvl w:ilvl="0">
      <w:lvlJc w:val="left"/>
      <w:lvlText w:val="•"/>
      <w:numFmt w:val="bullet"/>
      <w:start w:val="1"/>
    </w:lvl>
  </w:abstractNum>
  <w:abstractNum w:abstractNumId="103">
    <w:nsid w:val="38A5D054"/>
    <w:multiLevelType w:val="hybridMultilevel"/>
    <w:lvl w:ilvl="0">
      <w:lvlJc w:val="left"/>
      <w:lvlText w:val="•"/>
      <w:numFmt w:val="bullet"/>
      <w:start w:val="1"/>
    </w:lvl>
  </w:abstractNum>
  <w:abstractNum w:abstractNumId="104">
    <w:nsid w:val="F3F09D8"/>
    <w:multiLevelType w:val="hybridMultilevel"/>
    <w:lvl w:ilvl="0">
      <w:lvlJc w:val="left"/>
      <w:lvlText w:val="•"/>
      <w:numFmt w:val="bullet"/>
      <w:start w:val="1"/>
    </w:lvl>
  </w:abstractNum>
  <w:abstractNum w:abstractNumId="105">
    <w:nsid w:val="4B793735"/>
    <w:multiLevelType w:val="hybridMultilevel"/>
    <w:lvl w:ilvl="0">
      <w:lvlJc w:val="left"/>
      <w:lvlText w:val="•"/>
      <w:numFmt w:val="bullet"/>
      <w:start w:val="1"/>
    </w:lvl>
  </w:abstractNum>
  <w:abstractNum w:abstractNumId="106">
    <w:nsid w:val="4A10B4E8"/>
    <w:multiLevelType w:val="hybridMultilevel"/>
    <w:lvl w:ilvl="0">
      <w:lvlJc w:val="left"/>
      <w:lvlText w:val="•"/>
      <w:numFmt w:val="bullet"/>
      <w:start w:val="1"/>
    </w:lvl>
  </w:abstractNum>
  <w:abstractNum w:abstractNumId="107">
    <w:nsid w:val="43D3BCD4"/>
    <w:multiLevelType w:val="hybridMultilevel"/>
    <w:lvl w:ilvl="0">
      <w:lvlJc w:val="left"/>
      <w:lvlText w:val="•"/>
      <w:numFmt w:val="bullet"/>
      <w:start w:val="1"/>
    </w:lvl>
  </w:abstractNum>
  <w:abstractNum w:abstractNumId="108">
    <w:nsid w:val="4C2A7166"/>
    <w:multiLevelType w:val="hybridMultilevel"/>
    <w:lvl w:ilvl="0">
      <w:lvlJc w:val="left"/>
      <w:lvlText w:val="(%1)"/>
      <w:numFmt w:val="decimal"/>
      <w:start w:val="3"/>
    </w:lvl>
  </w:abstractNum>
  <w:abstractNum w:abstractNumId="109">
    <w:nsid w:val="2E534A82"/>
    <w:multiLevelType w:val="hybridMultilevel"/>
    <w:lvl w:ilvl="0">
      <w:lvlJc w:val="left"/>
      <w:lvlText w:val="•"/>
      <w:numFmt w:val="bullet"/>
      <w:start w:val="1"/>
    </w:lvl>
  </w:abstractNum>
  <w:abstractNum w:abstractNumId="110">
    <w:nsid w:val="26F2D364"/>
    <w:multiLevelType w:val="hybridMultilevel"/>
    <w:lvl w:ilvl="0">
      <w:lvlJc w:val="left"/>
      <w:lvlText w:val="•"/>
      <w:numFmt w:val="bullet"/>
      <w:start w:val="1"/>
    </w:lvl>
  </w:abstractNum>
  <w:abstractNum w:abstractNumId="111">
    <w:nsid w:val="71C1AF98"/>
    <w:multiLevelType w:val="hybridMultilevel"/>
    <w:lvl w:ilvl="0">
      <w:lvlJc w:val="left"/>
      <w:lvlText w:val="•"/>
      <w:numFmt w:val="bullet"/>
      <w:start w:val="1"/>
    </w:lvl>
  </w:abstractNum>
  <w:abstractNum w:abstractNumId="112">
    <w:nsid w:val="3D00B9D9"/>
    <w:multiLevelType w:val="hybridMultilevel"/>
    <w:lvl w:ilvl="0">
      <w:lvlJc w:val="left"/>
      <w:lvlText w:val="•"/>
      <w:numFmt w:val="bullet"/>
      <w:start w:val="1"/>
    </w:lvl>
  </w:abstractNum>
  <w:abstractNum w:abstractNumId="113">
    <w:nsid w:val="15BCABA8"/>
    <w:multiLevelType w:val="hybridMultilevel"/>
    <w:lvl w:ilvl="0">
      <w:lvlJc w:val="left"/>
      <w:lvlText w:val="•"/>
      <w:numFmt w:val="bullet"/>
      <w:start w:val="1"/>
    </w:lvl>
  </w:abstractNum>
  <w:abstractNum w:abstractNumId="114">
    <w:nsid w:val="4E0B9A87"/>
    <w:multiLevelType w:val="hybridMultilevel"/>
    <w:lvl w:ilvl="0">
      <w:lvlJc w:val="left"/>
      <w:lvlText w:val="•"/>
      <w:numFmt w:val="bullet"/>
      <w:start w:val="1"/>
    </w:lvl>
  </w:abstractNum>
  <w:abstractNum w:abstractNumId="115">
    <w:nsid w:val="434BAE75"/>
    <w:multiLevelType w:val="hybridMultilevel"/>
    <w:lvl w:ilvl="0">
      <w:lvlJc w:val="left"/>
      <w:lvlText w:val="%1."/>
      <w:numFmt w:val="upperLetter"/>
      <w:start w:val="2"/>
    </w:lvl>
    <w:lvl w:ilvl="1">
      <w:lvlJc w:val="left"/>
      <w:lvlText w:val="•"/>
      <w:numFmt w:val="bullet"/>
      <w:start w:val="1"/>
    </w:lvl>
  </w:abstractNum>
  <w:abstractNum w:abstractNumId="116">
    <w:nsid w:val="4F38F265"/>
    <w:multiLevelType w:val="hybridMultilevel"/>
    <w:lvl w:ilvl="0">
      <w:lvlJc w:val="left"/>
      <w:lvlText w:val="%1."/>
      <w:numFmt w:val="upperLetter"/>
      <w:start w:val="4"/>
    </w:lvl>
  </w:abstractNum>
  <w:abstractNum w:abstractNumId="117">
    <w:nsid w:val="4C502870"/>
    <w:multiLevelType w:val="hybridMultilevel"/>
    <w:lvl w:ilvl="0">
      <w:lvlJc w:val="left"/>
      <w:lvlText w:val="%1."/>
      <w:numFmt w:val="upperLetter"/>
      <w:start w:val="5"/>
    </w:lvl>
  </w:abstractNum>
  <w:abstractNum w:abstractNumId="118">
    <w:nsid w:val="1DE8725A"/>
    <w:multiLevelType w:val="hybridMultilevel"/>
    <w:lvl w:ilvl="0">
      <w:lvlJc w:val="left"/>
      <w:lvlText w:val="%1."/>
      <w:numFmt w:val="upperLetter"/>
      <w:start w:val="6"/>
    </w:lvl>
  </w:abstractNum>
  <w:abstractNum w:abstractNumId="119">
    <w:nsid w:val="6A37288A"/>
    <w:multiLevelType w:val="hybridMultilevel"/>
    <w:lvl w:ilvl="0">
      <w:lvlJc w:val="left"/>
      <w:lvlText w:val="(%1)"/>
      <w:numFmt w:val="decimal"/>
      <w:start w:val="1"/>
    </w:lvl>
  </w:abstractNum>
  <w:abstractNum w:abstractNumId="120">
    <w:nsid w:val="8F8B73F"/>
    <w:multiLevelType w:val="hybridMultilevel"/>
    <w:lvl w:ilvl="0">
      <w:lvlJc w:val="left"/>
      <w:lvlText w:val="%1."/>
      <w:numFmt w:val="upperLetter"/>
      <w:start w:val="7"/>
    </w:lvl>
  </w:abstractNum>
  <w:abstractNum w:abstractNumId="121">
    <w:nsid w:val="CA6B462"/>
    <w:multiLevelType w:val="hybridMultilevel"/>
    <w:lvl w:ilvl="0">
      <w:lvlJc w:val="left"/>
      <w:lvlText w:val="%1."/>
      <w:numFmt w:val="upperLetter"/>
      <w:start w:val="1"/>
    </w:lvl>
  </w:abstractNum>
  <w:abstractNum w:abstractNumId="122">
    <w:nsid w:val="763CB680"/>
    <w:multiLevelType w:val="hybridMultilevel"/>
    <w:lvl w:ilvl="0">
      <w:lvlJc w:val="left"/>
      <w:lvlText w:val="%1."/>
      <w:numFmt w:val="upperLetter"/>
      <w:start w:val="2"/>
    </w:lvl>
  </w:abstractNum>
  <w:abstractNum w:abstractNumId="123">
    <w:nsid w:val="15B71329"/>
    <w:multiLevelType w:val="hybridMultilevel"/>
    <w:lvl w:ilvl="0">
      <w:lvlJc w:val="left"/>
      <w:lvlText w:val="(%1)"/>
      <w:numFmt w:val="decimal"/>
      <w:start w:val="1"/>
    </w:lvl>
  </w:abstractNum>
  <w:abstractNum w:abstractNumId="124">
    <w:nsid w:val="3DA97044"/>
    <w:multiLevelType w:val="hybridMultilevel"/>
    <w:lvl w:ilvl="0">
      <w:lvlJc w:val="left"/>
      <w:lvlText w:val="(%1)"/>
      <w:numFmt w:val="decimal"/>
      <w:start w:val="1"/>
    </w:lvl>
  </w:abstractNum>
  <w:abstractNum w:abstractNumId="125">
    <w:nsid w:val="1CDCE2DE"/>
    <w:multiLevelType w:val="hybridMultilevel"/>
    <w:lvl w:ilvl="0">
      <w:lvlJc w:val="left"/>
      <w:lvlText w:val="(%1)"/>
      <w:numFmt w:val="decimal"/>
      <w:start w:val="2"/>
    </w:lvl>
  </w:abstractNum>
  <w:abstractNum w:abstractNumId="126">
    <w:nsid w:val="69D3947C"/>
    <w:multiLevelType w:val="hybridMultilevel"/>
    <w:lvl w:ilvl="0">
      <w:lvlJc w:val="left"/>
      <w:lvlText w:val="(%1)"/>
      <w:numFmt w:val="decimal"/>
      <w:start w:val="2"/>
    </w:lvl>
  </w:abstractNum>
  <w:abstractNum w:abstractNumId="127">
    <w:nsid w:val="2539DFA5"/>
    <w:multiLevelType w:val="hybridMultilevel"/>
    <w:lvl w:ilvl="0">
      <w:lvlJc w:val="left"/>
      <w:lvlText w:val="(%1)"/>
      <w:numFmt w:val="decimal"/>
      <w:start w:val="1"/>
    </w:lvl>
  </w:abstractNum>
  <w:abstractNum w:abstractNumId="128">
    <w:nsid w:val="2DB88089"/>
    <w:multiLevelType w:val="hybridMultilevel"/>
    <w:lvl w:ilvl="0">
      <w:lvlJc w:val="left"/>
      <w:lvlText w:val="%1."/>
      <w:numFmt w:val="upperLetter"/>
      <w:start w:val="3"/>
    </w:lvl>
  </w:abstractNum>
  <w:abstractNum w:abstractNumId="129">
    <w:nsid w:val="706B674E"/>
    <w:multiLevelType w:val="hybridMultilevel"/>
    <w:lvl w:ilvl="0">
      <w:lvlJc w:val="left"/>
      <w:lvlText w:val="•"/>
      <w:numFmt w:val="bullet"/>
      <w:start w:val="1"/>
    </w:lvl>
  </w:abstractNum>
  <w:abstractNum w:abstractNumId="130">
    <w:nsid w:val="2C106A57"/>
    <w:multiLevelType w:val="hybridMultilevel"/>
    <w:lvl w:ilvl="0">
      <w:lvlJc w:val="left"/>
      <w:lvlText w:val="•"/>
      <w:numFmt w:val="bullet"/>
      <w:start w:val="1"/>
    </w:lvl>
  </w:abstractNum>
  <w:abstractNum w:abstractNumId="131">
    <w:nsid w:val="684EED59"/>
    <w:multiLevelType w:val="hybridMultilevel"/>
    <w:lvl w:ilvl="0">
      <w:lvlJc w:val="left"/>
      <w:lvlText w:val="•"/>
      <w:numFmt w:val="bullet"/>
      <w:start w:val="1"/>
    </w:lvl>
  </w:abstractNum>
  <w:abstractNum w:abstractNumId="132">
    <w:nsid w:val="545EE5D3"/>
    <w:multiLevelType w:val="hybridMultilevel"/>
    <w:lvl w:ilvl="0">
      <w:lvlJc w:val="left"/>
      <w:lvlText w:val="•"/>
      <w:numFmt w:val="bullet"/>
      <w:start w:val="1"/>
    </w:lvl>
  </w:abstractNum>
  <w:abstractNum w:abstractNumId="133">
    <w:nsid w:val="4A66051"/>
    <w:multiLevelType w:val="hybridMultilevel"/>
    <w:lvl w:ilvl="0">
      <w:lvlJc w:val="left"/>
      <w:lvlText w:val="•"/>
      <w:numFmt w:val="bullet"/>
      <w:start w:val="1"/>
    </w:lvl>
  </w:abstractNum>
  <w:abstractNum w:abstractNumId="134">
    <w:nsid w:val="20F4BDAD"/>
    <w:multiLevelType w:val="hybridMultilevel"/>
    <w:lvl w:ilvl="0">
      <w:lvlJc w:val="left"/>
      <w:lvlText w:val="%1."/>
      <w:numFmt w:val="upperLetter"/>
      <w:start w:val="4"/>
    </w:lvl>
  </w:abstractNum>
  <w:abstractNum w:abstractNumId="135">
    <w:nsid w:val="639DEFAC"/>
    <w:multiLevelType w:val="hybridMultilevel"/>
    <w:lvl w:ilvl="0">
      <w:lvlJc w:val="left"/>
      <w:lvlText w:val="%1."/>
      <w:numFmt w:val="upperLetter"/>
      <w:start w:val="5"/>
    </w:lvl>
  </w:abstractNum>
  <w:abstractNum w:abstractNumId="136">
    <w:nsid w:val="501F9786"/>
    <w:multiLevelType w:val="hybridMultilevel"/>
    <w:lvl w:ilvl="0">
      <w:lvlJc w:val="left"/>
      <w:lvlText w:val="%1."/>
      <w:numFmt w:val="upperLetter"/>
      <w:start w:val="1"/>
    </w:lvl>
  </w:abstractNum>
  <w:abstractNum w:abstractNumId="137">
    <w:nsid w:val="6B057295"/>
    <w:multiLevelType w:val="hybridMultilevel"/>
    <w:lvl w:ilvl="0">
      <w:lvlJc w:val="left"/>
      <w:lvlText w:val="•"/>
      <w:numFmt w:val="bullet"/>
      <w:start w:val="1"/>
    </w:lvl>
  </w:abstractNum>
  <w:abstractNum w:abstractNumId="138">
    <w:nsid w:val="2771AC80"/>
    <w:multiLevelType w:val="hybridMultilevel"/>
    <w:lvl w:ilvl="0">
      <w:lvlJc w:val="left"/>
      <w:lvlText w:val="*"/>
      <w:numFmt w:val="bullet"/>
      <w:start w:val="1"/>
    </w:lvl>
  </w:abstractNum>
  <w:abstractNum w:abstractNumId="139">
    <w:nsid w:val="1C4A08EC"/>
    <w:multiLevelType w:val="hybridMultilevel"/>
    <w:lvl w:ilvl="0">
      <w:lvlJc w:val="left"/>
      <w:lvlText w:val="(%1)"/>
      <w:numFmt w:val="decimal"/>
      <w:start w:val="1"/>
    </w:lvl>
  </w:abstractNum>
  <w:abstractNum w:abstractNumId="140">
    <w:nsid w:val="1958BD17"/>
    <w:multiLevelType w:val="hybridMultilevel"/>
    <w:lvl w:ilvl="0">
      <w:lvlJc w:val="left"/>
      <w:lvlText w:val="(%1)"/>
      <w:numFmt w:val="decimal"/>
      <w:start w:val="4"/>
    </w:lvl>
  </w:abstractNum>
  <w:abstractNum w:abstractNumId="141">
    <w:nsid w:val="4E647FE4"/>
    <w:multiLevelType w:val="hybridMultilevel"/>
    <w:lvl w:ilvl="0">
      <w:lvlJc w:val="left"/>
      <w:lvlText w:val="%1."/>
      <w:numFmt w:val="upperLetter"/>
      <w:start w:val="2"/>
    </w:lvl>
  </w:abstractNum>
  <w:abstractNum w:abstractNumId="142">
    <w:nsid w:val="E0BB885"/>
    <w:multiLevelType w:val="hybridMultilevel"/>
    <w:lvl w:ilvl="0">
      <w:lvlJc w:val="left"/>
      <w:lvlText w:val="•"/>
      <w:numFmt w:val="bullet"/>
      <w:start w:val="1"/>
    </w:lvl>
  </w:abstractNum>
  <w:abstractNum w:abstractNumId="143">
    <w:nsid w:val="565976F1"/>
    <w:multiLevelType w:val="hybridMultilevel"/>
    <w:lvl w:ilvl="0">
      <w:lvlJc w:val="left"/>
      <w:lvlText w:val="•"/>
      <w:numFmt w:val="bullet"/>
      <w:start w:val="1"/>
    </w:lvl>
  </w:abstractNum>
  <w:abstractNum w:abstractNumId="144">
    <w:nsid w:val="64212B8C"/>
    <w:multiLevelType w:val="hybridMultilevel"/>
    <w:lvl w:ilvl="0">
      <w:lvlJc w:val="left"/>
      <w:lvlText w:val="•"/>
      <w:numFmt w:val="bullet"/>
      <w:start w:val="1"/>
    </w:lvl>
  </w:abstractNum>
  <w:abstractNum w:abstractNumId="145">
    <w:nsid w:val="5C17530C"/>
    <w:multiLevelType w:val="hybridMultilevel"/>
    <w:lvl w:ilvl="0">
      <w:lvlJc w:val="left"/>
      <w:lvlText w:val="•"/>
      <w:numFmt w:val="bullet"/>
      <w:start w:val="1"/>
    </w:lvl>
  </w:abstractNum>
  <w:abstractNum w:abstractNumId="146">
    <w:nsid w:val="19A52566"/>
    <w:multiLevelType w:val="hybridMultilevel"/>
    <w:lvl w:ilvl="0">
      <w:lvlJc w:val="left"/>
      <w:lvlText w:val="•"/>
      <w:numFmt w:val="bullet"/>
      <w:start w:val="1"/>
    </w:lvl>
  </w:abstractNum>
  <w:abstractNum w:abstractNumId="147">
    <w:nsid w:val="335A1DF1"/>
    <w:multiLevelType w:val="hybridMultilevel"/>
    <w:lvl w:ilvl="0">
      <w:lvlJc w:val="left"/>
      <w:lvlText w:val="•"/>
      <w:numFmt w:val="bullet"/>
      <w:start w:val="1"/>
    </w:lvl>
  </w:abstractNum>
  <w:abstractNum w:abstractNumId="148">
    <w:nsid w:val="28677B7C"/>
    <w:multiLevelType w:val="hybridMultilevel"/>
    <w:lvl w:ilvl="0">
      <w:lvlJc w:val="left"/>
      <w:lvlText w:val="%1."/>
      <w:numFmt w:val="upperLetter"/>
      <w:start w:val="3"/>
    </w:lvl>
  </w:abstractNum>
  <w:abstractNum w:abstractNumId="149">
    <w:nsid w:val="378D97C0"/>
    <w:multiLevelType w:val="hybridMultilevel"/>
    <w:lvl w:ilvl="0">
      <w:lvlJc w:val="left"/>
      <w:lvlText w:val="%1."/>
      <w:numFmt w:val="upperLetter"/>
      <w:start w:val="1"/>
    </w:lvl>
  </w:abstractNum>
  <w:abstractNum w:abstractNumId="150">
    <w:nsid w:val="1D91467C"/>
    <w:multiLevelType w:val="hybridMultilevel"/>
    <w:lvl w:ilvl="0">
      <w:lvlJc w:val="left"/>
      <w:lvlText w:val="%1."/>
      <w:numFmt w:val="upperLetter"/>
      <w:start w:val="2"/>
    </w:lvl>
  </w:abstractNum>
  <w:abstractNum w:abstractNumId="151">
    <w:nsid w:val="316032BB"/>
    <w:multiLevelType w:val="hybridMultilevel"/>
    <w:lvl w:ilvl="0">
      <w:lvlJc w:val="left"/>
      <w:lvlText w:val="%1."/>
      <w:numFmt w:val="upperLetter"/>
      <w:start w:val="1"/>
    </w:lvl>
  </w:abstractNum>
  <w:abstractNum w:abstractNumId="152">
    <w:nsid w:val="44344C22"/>
    <w:multiLevelType w:val="hybridMultilevel"/>
    <w:lvl w:ilvl="0">
      <w:lvlJc w:val="left"/>
      <w:lvlText w:val="%1."/>
      <w:numFmt w:val="upperLetter"/>
      <w:start w:val="2"/>
    </w:lvl>
  </w:abstractNum>
  <w:abstractNum w:abstractNumId="153">
    <w:nsid w:val="13CDFCFC"/>
    <w:multiLevelType w:val="hybridMultilevel"/>
    <w:lvl w:ilvl="0">
      <w:lvlJc w:val="left"/>
      <w:lvlText w:val="%1."/>
      <w:numFmt w:val="upperLetter"/>
      <w:start w:val="4"/>
    </w:lvl>
  </w:abstractNum>
  <w:abstractNum w:abstractNumId="154">
    <w:nsid w:val="471745E4"/>
    <w:multiLevelType w:val="hybridMultilevel"/>
    <w:lvl w:ilvl="0">
      <w:lvlJc w:val="left"/>
      <w:lvlText w:val="%1."/>
      <w:numFmt w:val="upperLetter"/>
      <w:start w:val="1"/>
    </w:lvl>
  </w:abstractNum>
  <w:abstractNum w:abstractNumId="155">
    <w:nsid w:val="1DDBC66"/>
    <w:multiLevelType w:val="hybridMultilevel"/>
    <w:lvl w:ilvl="0">
      <w:lvlJc w:val="left"/>
      <w:lvlText w:val="•"/>
      <w:numFmt w:val="bullet"/>
      <w:start w:val="1"/>
    </w:lvl>
  </w:abstractNum>
  <w:abstractNum w:abstractNumId="156">
    <w:nsid w:val="30AADFDA"/>
    <w:multiLevelType w:val="hybridMultilevel"/>
    <w:lvl w:ilvl="0">
      <w:lvlJc w:val="left"/>
      <w:lvlText w:val="(%1)"/>
      <w:numFmt w:val="decimal"/>
      <w:start w:val="1"/>
    </w:lvl>
  </w:abstractNum>
  <w:abstractNum w:abstractNumId="157">
    <w:nsid w:val="30EADA61"/>
    <w:multiLevelType w:val="hybridMultilevel"/>
    <w:lvl w:ilvl="0">
      <w:lvlJc w:val="left"/>
      <w:lvlText w:val="(%1)"/>
      <w:numFmt w:val="decimal"/>
      <w:start w:val="2"/>
    </w:lvl>
  </w:abstractNum>
  <w:abstractNum w:abstractNumId="158">
    <w:nsid w:val="27179C0B"/>
    <w:multiLevelType w:val="hybridMultilevel"/>
    <w:lvl w:ilvl="0">
      <w:lvlJc w:val="left"/>
      <w:lvlText w:val="%1."/>
      <w:numFmt w:val="upperLetter"/>
      <w:start w:val="2"/>
    </w:lvl>
  </w:abstractNum>
  <w:abstractNum w:abstractNumId="159">
    <w:nsid w:val="5E636063"/>
    <w:multiLevelType w:val="hybridMultilevel"/>
    <w:lvl w:ilvl="0">
      <w:lvlJc w:val="left"/>
      <w:lvlText w:val="•"/>
      <w:numFmt w:val="bullet"/>
      <w:start w:val="1"/>
    </w:lvl>
  </w:abstractNum>
  <w:abstractNum w:abstractNumId="160">
    <w:nsid w:val="215641AF"/>
    <w:multiLevelType w:val="hybridMultilevel"/>
    <w:lvl w:ilvl="0">
      <w:lvlJc w:val="left"/>
      <w:lvlText w:val="•"/>
      <w:numFmt w:val="bullet"/>
      <w:start w:val="1"/>
    </w:lvl>
  </w:abstractNum>
  <w:abstractNum w:abstractNumId="161">
    <w:nsid w:val="53280662"/>
    <w:multiLevelType w:val="hybridMultilevel"/>
    <w:lvl w:ilvl="0">
      <w:lvlJc w:val="left"/>
      <w:lvlText w:val="•"/>
      <w:numFmt w:val="bullet"/>
      <w:start w:val="1"/>
    </w:lvl>
  </w:abstractNum>
  <w:abstractNum w:abstractNumId="162">
    <w:nsid w:val="46B24DBC"/>
    <w:multiLevelType w:val="hybridMultilevel"/>
    <w:lvl w:ilvl="0">
      <w:lvlJc w:val="left"/>
      <w:lvlText w:val="•"/>
      <w:numFmt w:val="bullet"/>
      <w:start w:val="1"/>
    </w:lvl>
  </w:abstractNum>
  <w:abstractNum w:abstractNumId="163">
    <w:nsid w:val="75B52783"/>
    <w:multiLevelType w:val="hybridMultilevel"/>
    <w:lvl w:ilvl="0">
      <w:lvlJc w:val="left"/>
      <w:lvlText w:val="•"/>
      <w:numFmt w:val="bullet"/>
      <w:start w:val="1"/>
    </w:lvl>
  </w:abstractNum>
  <w:abstractNum w:abstractNumId="164">
    <w:nsid w:val="57CE66B4"/>
    <w:multiLevelType w:val="hybridMultilevel"/>
    <w:lvl w:ilvl="0">
      <w:lvlJc w:val="left"/>
      <w:lvlText w:val="•"/>
      <w:numFmt w:val="bullet"/>
      <w:start w:val="1"/>
    </w:lvl>
  </w:abstractNum>
  <w:abstractNum w:abstractNumId="165">
    <w:nsid w:val="67A70B69"/>
    <w:multiLevelType w:val="hybridMultilevel"/>
    <w:lvl w:ilvl="0">
      <w:lvlJc w:val="left"/>
      <w:lvlText w:val="•"/>
      <w:numFmt w:val="bullet"/>
      <w:start w:val="1"/>
    </w:lvl>
  </w:abstractNum>
  <w:abstractNum w:abstractNumId="166">
    <w:nsid w:val="5953172F"/>
    <w:multiLevelType w:val="hybridMultilevel"/>
    <w:lvl w:ilvl="0">
      <w:lvlJc w:val="left"/>
      <w:lvlText w:val="•"/>
      <w:numFmt w:val="bullet"/>
      <w:start w:val="1"/>
    </w:lvl>
  </w:abstractNum>
  <w:abstractNum w:abstractNumId="167">
    <w:nsid w:val="27EDFE3A"/>
    <w:multiLevelType w:val="hybridMultilevel"/>
    <w:lvl w:ilvl="0">
      <w:lvlJc w:val="left"/>
      <w:lvlText w:val="•"/>
      <w:numFmt w:val="bullet"/>
      <w:start w:val="1"/>
    </w:lvl>
  </w:abstractNum>
  <w:abstractNum w:abstractNumId="168">
    <w:nsid w:val="52AC7DFF"/>
    <w:multiLevelType w:val="hybridMultilevel"/>
    <w:lvl w:ilvl="0">
      <w:lvlJc w:val="left"/>
      <w:lvlText w:val="%1."/>
      <w:numFmt w:val="upperLetter"/>
      <w:start w:val="3"/>
    </w:lvl>
  </w:abstractNum>
  <w:abstractNum w:abstractNumId="169">
    <w:nsid w:val="C4C3AF"/>
    <w:multiLevelType w:val="hybridMultilevel"/>
    <w:lvl w:ilvl="0">
      <w:lvlJc w:val="left"/>
      <w:lvlText w:val="%1."/>
      <w:numFmt w:val="upperLetter"/>
      <w:start w:val="4"/>
    </w:lvl>
  </w:abstractNum>
  <w:abstractNum w:abstractNumId="170">
    <w:nsid w:val="44380727"/>
    <w:multiLevelType w:val="hybridMultilevel"/>
    <w:lvl w:ilvl="0">
      <w:lvlJc w:val="left"/>
      <w:lvlText w:val="%1."/>
      <w:numFmt w:val="upperLetter"/>
      <w:start w:val="5"/>
    </w:lvl>
  </w:abstractNum>
  <w:abstractNum w:abstractNumId="171">
    <w:nsid w:val="6C053B16"/>
    <w:multiLevelType w:val="hybridMultilevel"/>
    <w:lvl w:ilvl="0">
      <w:lvlJc w:val="left"/>
      <w:lvlText w:val="•"/>
      <w:numFmt w:val="bullet"/>
      <w:start w:val="1"/>
    </w:lvl>
  </w:abstractNum>
  <w:abstractNum w:abstractNumId="172">
    <w:nsid w:val="4F294393"/>
    <w:multiLevelType w:val="hybridMultilevel"/>
    <w:lvl w:ilvl="0">
      <w:lvlJc w:val="left"/>
      <w:lvlText w:val="(%1)"/>
      <w:numFmt w:val="lowerRoman"/>
      <w:start w:val="1"/>
    </w:lvl>
  </w:abstractNum>
  <w:abstractNum w:abstractNumId="173">
    <w:nsid w:val="5243BFAC"/>
    <w:multiLevelType w:val="hybridMultilevel"/>
    <w:lvl w:ilvl="0">
      <w:lvlJc w:val="left"/>
      <w:lvlText w:val="•"/>
      <w:numFmt w:val="bullet"/>
      <w:start w:val="1"/>
    </w:lvl>
  </w:abstractNum>
  <w:abstractNum w:abstractNumId="174">
    <w:nsid w:val="425EB207"/>
    <w:multiLevelType w:val="hybridMultilevel"/>
    <w:lvl w:ilvl="0">
      <w:lvlJc w:val="left"/>
      <w:lvlText w:val="•"/>
      <w:numFmt w:val="bullet"/>
      <w:start w:val="1"/>
    </w:lvl>
  </w:abstractNum>
  <w:abstractNum w:abstractNumId="175">
    <w:nsid w:val="334A6F1F"/>
    <w:multiLevelType w:val="hybridMultilevel"/>
    <w:lvl w:ilvl="0">
      <w:lvlJc w:val="left"/>
      <w:lvlText w:val="•"/>
      <w:numFmt w:val="bullet"/>
      <w:start w:val="1"/>
    </w:lvl>
  </w:abstractNum>
  <w:abstractNum w:abstractNumId="176">
    <w:nsid w:val="2E5B12B8"/>
    <w:multiLevelType w:val="hybridMultilevel"/>
    <w:lvl w:ilvl="0">
      <w:lvlJc w:val="left"/>
      <w:lvlText w:val="%1."/>
      <w:numFmt w:val="upperLetter"/>
      <w:start w:val="6"/>
    </w:lvl>
  </w:abstractNum>
  <w:abstractNum w:abstractNumId="177">
    <w:nsid w:val="5C03D76D"/>
    <w:multiLevelType w:val="hybridMultilevel"/>
    <w:lvl w:ilvl="0">
      <w:lvlJc w:val="left"/>
      <w:lvlText w:val="%1."/>
      <w:numFmt w:val="upperLetter"/>
      <w:start w:val="7"/>
    </w:lvl>
  </w:abstractNum>
  <w:abstractNum w:abstractNumId="178">
    <w:nsid w:val="66A48D11"/>
    <w:multiLevelType w:val="hybridMultilevel"/>
    <w:lvl w:ilvl="0">
      <w:lvlJc w:val="left"/>
      <w:lvlText w:val="%1."/>
      <w:numFmt w:val="upperLetter"/>
      <w:start w:val="8"/>
    </w:lvl>
  </w:abstractNum>
  <w:abstractNum w:abstractNumId="179">
    <w:nsid w:val="56C28E34"/>
    <w:multiLevelType w:val="hybridMultilevel"/>
    <w:lvl w:ilvl="0">
      <w:lvlJc w:val="left"/>
      <w:lvlText w:val="%1."/>
      <w:numFmt w:val="upperLetter"/>
      <w:start w:val="9"/>
    </w:lvl>
  </w:abstractNum>
  <w:abstractNum w:abstractNumId="180">
    <w:nsid w:val="13916F2D"/>
    <w:multiLevelType w:val="hybridMultilevel"/>
    <w:lvl w:ilvl="0">
      <w:lvlJc w:val="left"/>
      <w:lvlText w:val="%1."/>
      <w:numFmt w:val="upperLetter"/>
      <w:start w:val="1"/>
    </w:lvl>
  </w:abstractNum>
  <w:abstractNum w:abstractNumId="181">
    <w:nsid w:val="435D38D"/>
    <w:multiLevelType w:val="hybridMultilevel"/>
    <w:lvl w:ilvl="0">
      <w:lvlJc w:val="left"/>
      <w:lvlText w:val="%1."/>
      <w:numFmt w:val="upperLetter"/>
      <w:start w:val="2"/>
    </w:lvl>
  </w:abstractNum>
  <w:abstractNum w:abstractNumId="182">
    <w:nsid w:val="822C0EF"/>
    <w:multiLevelType w:val="hybridMultilevel"/>
    <w:lvl w:ilvl="0">
      <w:lvlJc w:val="left"/>
      <w:lvlText w:val="%1."/>
      <w:numFmt w:val="upperLetter"/>
      <w:start w:val="3"/>
    </w:lvl>
  </w:abstractNum>
  <w:abstractNum w:abstractNumId="183">
    <w:nsid w:val="57C5BB4F"/>
    <w:multiLevelType w:val="hybridMultilevel"/>
    <w:lvl w:ilvl="0">
      <w:lvlJc w:val="left"/>
      <w:lvlText w:val="%1."/>
      <w:numFmt w:val="upperLetter"/>
      <w:start w:val="4"/>
    </w:lvl>
  </w:abstractNum>
  <w:abstractNum w:abstractNumId="184">
    <w:nsid w:val="1803D089"/>
    <w:multiLevelType w:val="hybridMultilevel"/>
    <w:lvl w:ilvl="0">
      <w:lvlJc w:val="left"/>
      <w:lvlText w:val="•"/>
      <w:numFmt w:val="bullet"/>
      <w:start w:val="1"/>
    </w:lvl>
  </w:abstractNum>
  <w:abstractNum w:abstractNumId="185">
    <w:nsid w:val="4F3A06D4"/>
    <w:multiLevelType w:val="hybridMultilevel"/>
    <w:lvl w:ilvl="0">
      <w:lvlJc w:val="left"/>
      <w:lvlText w:val="•"/>
      <w:numFmt w:val="bullet"/>
      <w:start w:val="1"/>
    </w:lvl>
  </w:abstractNum>
  <w:abstractNum w:abstractNumId="186">
    <w:nsid w:val="59A377B6"/>
    <w:multiLevelType w:val="hybridMultilevel"/>
    <w:lvl w:ilvl="0">
      <w:lvlJc w:val="left"/>
      <w:lvlText w:val="•"/>
      <w:numFmt w:val="bullet"/>
      <w:start w:val="1"/>
    </w:lvl>
  </w:abstractNum>
  <w:abstractNum w:abstractNumId="187">
    <w:nsid w:val="48AEB063"/>
    <w:multiLevelType w:val="hybridMultilevel"/>
    <w:lvl w:ilvl="0">
      <w:lvlJc w:val="left"/>
      <w:lvlText w:val="•"/>
      <w:numFmt w:val="bullet"/>
      <w:start w:val="1"/>
    </w:lvl>
  </w:abstractNum>
  <w:abstractNum w:abstractNumId="188">
    <w:nsid w:val="24E135"/>
    <w:multiLevelType w:val="hybridMultilevel"/>
    <w:lvl w:ilvl="0">
      <w:lvlJc w:val="left"/>
      <w:lvlText w:val="•"/>
      <w:numFmt w:val="bullet"/>
      <w:start w:val="1"/>
    </w:lvl>
  </w:abstractNum>
  <w:abstractNum w:abstractNumId="189">
    <w:nsid w:val="BB13C1"/>
    <w:multiLevelType w:val="hybridMultilevel"/>
    <w:lvl w:ilvl="0">
      <w:lvlJc w:val="left"/>
      <w:lvlText w:val="•"/>
      <w:numFmt w:val="bullet"/>
      <w:start w:val="1"/>
    </w:lvl>
  </w:abstractNum>
  <w:abstractNum w:abstractNumId="190">
    <w:nsid w:val="271210C7"/>
    <w:multiLevelType w:val="hybridMultilevel"/>
    <w:lvl w:ilvl="0">
      <w:lvlJc w:val="left"/>
      <w:lvlText w:val="•"/>
      <w:numFmt w:val="bullet"/>
      <w:start w:val="1"/>
    </w:lvl>
  </w:abstractNum>
  <w:abstractNum w:abstractNumId="191">
    <w:nsid w:val="217B22E4"/>
    <w:multiLevelType w:val="hybridMultilevel"/>
    <w:lvl w:ilvl="0">
      <w:lvlJc w:val="left"/>
      <w:lvlText w:val="•"/>
      <w:numFmt w:val="bullet"/>
      <w:start w:val="1"/>
    </w:lvl>
  </w:abstractNum>
  <w:abstractNum w:abstractNumId="192">
    <w:nsid w:val="53E31A24"/>
    <w:multiLevelType w:val="hybridMultilevel"/>
    <w:lvl w:ilvl="0">
      <w:lvlJc w:val="left"/>
      <w:lvlText w:val="•"/>
      <w:numFmt w:val="bullet"/>
      <w:start w:val="1"/>
    </w:lvl>
  </w:abstractNum>
  <w:abstractNum w:abstractNumId="193">
    <w:nsid w:val="6DC45E83"/>
    <w:multiLevelType w:val="hybridMultilevel"/>
    <w:lvl w:ilvl="0">
      <w:lvlJc w:val="left"/>
      <w:lvlText w:val="•"/>
      <w:numFmt w:val="bullet"/>
      <w:start w:val="1"/>
    </w:lvl>
  </w:abstractNum>
  <w:abstractNum w:abstractNumId="194">
    <w:nsid w:val="17304A67"/>
    <w:multiLevelType w:val="hybridMultilevel"/>
    <w:lvl w:ilvl="0">
      <w:lvlJc w:val="left"/>
      <w:lvlText w:val="•"/>
      <w:numFmt w:val="bullet"/>
      <w:start w:val="1"/>
    </w:lvl>
  </w:abstractNum>
  <w:abstractNum w:abstractNumId="195">
    <w:nsid w:val="2BB180D8"/>
    <w:multiLevelType w:val="hybridMultilevel"/>
    <w:lvl w:ilvl="0">
      <w:lvlJc w:val="left"/>
      <w:lvlText w:val="*"/>
      <w:numFmt w:val="bullet"/>
      <w:start w:val="1"/>
    </w:lvl>
  </w:abstractNum>
  <w:abstractNum w:abstractNumId="196">
    <w:nsid w:val="556B69ED"/>
    <w:multiLevelType w:val="hybridMultilevel"/>
    <w:lvl w:ilvl="0">
      <w:lvlJc w:val="left"/>
      <w:lvlText w:val="#"/>
      <w:numFmt w:val="bullet"/>
      <w:start w:val="1"/>
    </w:lvl>
  </w:abstractNum>
  <w:abstractNum w:abstractNumId="197">
    <w:nsid w:val="70836196"/>
    <w:multiLevelType w:val="hybridMultilevel"/>
    <w:lvl w:ilvl="0">
      <w:lvlJc w:val="left"/>
      <w:lvlText w:val="†"/>
      <w:numFmt w:val="bullet"/>
      <w:start w:val="1"/>
    </w:lvl>
  </w:abstractNum>
  <w:abstractNum w:abstractNumId="198">
    <w:nsid w:val="539F7F12"/>
    <w:multiLevelType w:val="hybridMultilevel"/>
    <w:lvl w:ilvl="0">
      <w:lvlJc w:val="left"/>
      <w:lvlText w:val="•"/>
      <w:numFmt w:val="bullet"/>
      <w:start w:val="1"/>
    </w:lvl>
  </w:abstractNum>
  <w:abstractNum w:abstractNumId="199">
    <w:nsid w:val="2817E7EC"/>
    <w:multiLevelType w:val="hybridMultilevel"/>
    <w:lvl w:ilvl="0">
      <w:lvlJc w:val="left"/>
      <w:lvlText w:val="•"/>
      <w:numFmt w:val="bullet"/>
      <w:start w:val="1"/>
    </w:lvl>
  </w:abstractNum>
  <w:abstractNum w:abstractNumId="200">
    <w:nsid w:val="71482545"/>
    <w:multiLevelType w:val="hybridMultilevel"/>
    <w:lvl w:ilvl="0">
      <w:lvlJc w:val="left"/>
      <w:lvlText w:val="%1."/>
      <w:numFmt w:val="decimal"/>
      <w:start w:val="1"/>
    </w:lvl>
  </w:abstractNum>
  <w:abstractNum w:abstractNumId="201">
    <w:nsid w:val="17D78639"/>
    <w:multiLevelType w:val="hybridMultilevel"/>
    <w:lvl w:ilvl="0">
      <w:lvlJc w:val="left"/>
      <w:lvlText w:val="%1."/>
      <w:numFmt w:val="decimal"/>
      <w:start w:val="2"/>
    </w:lvl>
  </w:abstractNum>
  <w:abstractNum w:abstractNumId="202">
    <w:nsid w:val="141D2302"/>
    <w:multiLevelType w:val="hybridMultilevel"/>
    <w:lvl w:ilvl="0">
      <w:lvlJc w:val="left"/>
      <w:lvlText w:val="•"/>
      <w:numFmt w:val="bullet"/>
      <w:start w:val="1"/>
    </w:lvl>
  </w:abstractNum>
  <w:abstractNum w:abstractNumId="203">
    <w:nsid w:val="407168D8"/>
    <w:multiLevelType w:val="hybridMultilevel"/>
    <w:lvl w:ilvl="0">
      <w:lvlJc w:val="left"/>
      <w:lvlText w:val="%1."/>
      <w:numFmt w:val="decimal"/>
      <w:start w:val="1"/>
    </w:lvl>
  </w:abstractNum>
  <w:abstractNum w:abstractNumId="204">
    <w:nsid w:val="6A1B45E5"/>
    <w:multiLevelType w:val="hybridMultilevel"/>
    <w:lvl w:ilvl="0">
      <w:lvlJc w:val="left"/>
      <w:lvlText w:val="•"/>
      <w:numFmt w:val="bullet"/>
      <w:start w:val="1"/>
    </w:lvl>
  </w:abstractNum>
  <w:abstractNum w:abstractNumId="205">
    <w:nsid w:val="567BD50A"/>
    <w:multiLevelType w:val="hybridMultilevel"/>
    <w:lvl w:ilvl="0">
      <w:lvlJc w:val="left"/>
      <w:lvlText w:val="•"/>
      <w:numFmt w:val="bullet"/>
      <w:start w:val="1"/>
    </w:lvl>
  </w:abstractNum>
  <w:abstractNum w:abstractNumId="206">
    <w:nsid w:val="73BBD7F8"/>
    <w:multiLevelType w:val="hybridMultilevel"/>
    <w:lvl w:ilvl="0">
      <w:lvlJc w:val="left"/>
      <w:lvlText w:val="•"/>
      <w:numFmt w:val="bullet"/>
      <w:start w:val="1"/>
    </w:lvl>
  </w:abstractNum>
  <w:abstractNum w:abstractNumId="207">
    <w:nsid w:val="1876589D"/>
    <w:multiLevelType w:val="hybridMultilevel"/>
    <w:lvl w:ilvl="0">
      <w:lvlJc w:val="left"/>
      <w:lvlText w:val="•"/>
      <w:numFmt w:val="bullet"/>
      <w:start w:val="1"/>
    </w:lvl>
  </w:abstractNum>
  <w:abstractNum w:abstractNumId="208">
    <w:nsid w:val="327FAC77"/>
    <w:multiLevelType w:val="hybridMultilevel"/>
    <w:lvl w:ilvl="0">
      <w:lvlJc w:val="left"/>
      <w:lvlText w:val="•"/>
      <w:numFmt w:val="bullet"/>
      <w:start w:val="1"/>
    </w:lvl>
  </w:abstractNum>
  <w:abstractNum w:abstractNumId="209">
    <w:nsid w:val="5A606509"/>
    <w:multiLevelType w:val="hybridMultilevel"/>
    <w:lvl w:ilvl="0">
      <w:lvlJc w:val="left"/>
      <w:lvlText w:val="(%1)"/>
      <w:numFmt w:val="decimal"/>
      <w:start w:val="1"/>
    </w:lvl>
  </w:abstractNum>
  <w:abstractNum w:abstractNumId="210">
    <w:nsid w:val="6F38E6D1"/>
    <w:multiLevelType w:val="hybridMultilevel"/>
    <w:lvl w:ilvl="0">
      <w:lvlJc w:val="left"/>
      <w:lvlText w:val="%1."/>
      <w:numFmt w:val="decimal"/>
      <w:start w:val="6"/>
    </w:lvl>
  </w:abstractNum>
  <w:abstractNum w:abstractNumId="211">
    <w:nsid w:val="46111BA5"/>
    <w:multiLevelType w:val="hybridMultilevel"/>
    <w:lvl w:ilvl="0">
      <w:lvlJc w:val="left"/>
      <w:lvlText w:val="%1."/>
      <w:numFmt w:val="decimal"/>
      <w:start w:val="1"/>
    </w:lvl>
  </w:abstractNum>
  <w:abstractNum w:abstractNumId="212">
    <w:nsid w:val="5E963896"/>
    <w:multiLevelType w:val="hybridMultilevel"/>
    <w:lvl w:ilvl="0">
      <w:lvlJc w:val="left"/>
      <w:lvlText w:val="%1."/>
      <w:numFmt w:val="decimal"/>
      <w:start w:val="1"/>
    </w:lvl>
  </w:abstractNum>
  <w:abstractNum w:abstractNumId="213">
    <w:nsid w:val="775BA7C1"/>
    <w:multiLevelType w:val="hybridMultilevel"/>
    <w:lvl w:ilvl="0">
      <w:lvlJc w:val="left"/>
      <w:lvlText w:val="•"/>
      <w:numFmt w:val="bullet"/>
      <w:start w:val="1"/>
    </w:lvl>
  </w:abstractNum>
  <w:abstractNum w:abstractNumId="214">
    <w:nsid w:val="1DD6D6F4"/>
    <w:multiLevelType w:val="hybridMultilevel"/>
    <w:lvl w:ilvl="0">
      <w:lvlJc w:val="left"/>
      <w:lvlText w:val="%1."/>
      <w:numFmt w:val="decimal"/>
      <w:start w:val="1"/>
    </w:lvl>
  </w:abstractNum>
  <w:abstractNum w:abstractNumId="215">
    <w:nsid w:val="769A091F"/>
    <w:multiLevelType w:val="hybridMultilevel"/>
    <w:lvl w:ilvl="0">
      <w:lvlJc w:val="left"/>
      <w:lvlText w:val="%1."/>
      <w:numFmt w:val="decimal"/>
      <w:start w:val="1"/>
    </w:lvl>
  </w:abstractNum>
  <w:abstractNum w:abstractNumId="216">
    <w:nsid w:val="4695AE95"/>
    <w:multiLevelType w:val="hybridMultilevel"/>
    <w:lvl w:ilvl="0">
      <w:lvlJc w:val="left"/>
      <w:lvlText w:val="(%1)"/>
      <w:numFmt w:val="decimal"/>
      <w:start w:val="1"/>
    </w:lvl>
  </w:abstractNum>
  <w:abstractNum w:abstractNumId="217">
    <w:nsid w:val="777A4EAA"/>
    <w:multiLevelType w:val="hybridMultilevel"/>
    <w:lvl w:ilvl="0">
      <w:lvlJc w:val="left"/>
      <w:lvlText w:val="(%1)"/>
      <w:numFmt w:val="decimal"/>
      <w:start w:val="1"/>
    </w:lvl>
  </w:abstractNum>
  <w:abstractNum w:abstractNumId="218">
    <w:nsid w:val="3F48B982"/>
    <w:multiLevelType w:val="hybridMultilevel"/>
    <w:lvl w:ilvl="0">
      <w:lvlJc w:val="left"/>
      <w:lvlText w:val="•"/>
      <w:numFmt w:val="bullet"/>
      <w:start w:val="1"/>
    </w:lvl>
  </w:abstractNum>
  <w:abstractNum w:abstractNumId="219">
    <w:nsid w:val="46BA8FCA"/>
    <w:multiLevelType w:val="hybridMultilevel"/>
    <w:lvl w:ilvl="0">
      <w:lvlJc w:val="left"/>
      <w:lvlText w:val="*"/>
      <w:numFmt w:val="bullet"/>
      <w:start w:val="1"/>
    </w:lvl>
  </w:abstractNum>
  <w:abstractNum w:abstractNumId="220">
    <w:nsid w:val="7835626C"/>
    <w:multiLevelType w:val="hybridMultilevel"/>
    <w:lvl w:ilvl="0">
      <w:lvlJc w:val="left"/>
      <w:lvlText w:val="%1."/>
      <w:numFmt w:val="decimal"/>
      <w:start w:val="1"/>
    </w:lvl>
  </w:abstractNum>
  <w:abstractNum w:abstractNumId="221">
    <w:nsid w:val="665ACA49"/>
    <w:multiLevelType w:val="hybridMultilevel"/>
    <w:lvl w:ilvl="0">
      <w:lvlJc w:val="left"/>
      <w:lvlText w:val="%1."/>
      <w:numFmt w:val="decimal"/>
      <w:start w:val="1"/>
    </w:lvl>
  </w:abstractNum>
  <w:abstractNum w:abstractNumId="222">
    <w:nsid w:val="6835B2AE"/>
    <w:multiLevelType w:val="hybridMultilevel"/>
    <w:lvl w:ilvl="0">
      <w:lvlJc w:val="left"/>
      <w:lvlText w:val="%1."/>
      <w:numFmt w:val="decimal"/>
      <w:start w:val="24"/>
    </w:lvl>
  </w:abstractNum>
  <w:abstractNum w:abstractNumId="223">
    <w:nsid w:val="4C187C90"/>
    <w:multiLevelType w:val="hybridMultilevel"/>
    <w:lvl w:ilvl="0">
      <w:lvlJc w:val="left"/>
      <w:lvlText w:val="%1."/>
      <w:numFmt w:val="decimal"/>
      <w:start w:val="1"/>
    </w:lvl>
  </w:abstractNum>
  <w:abstractNum w:abstractNumId="224">
    <w:nsid w:val="541F28CD"/>
    <w:multiLevelType w:val="hybridMultilevel"/>
    <w:lvl w:ilvl="0">
      <w:lvlJc w:val="left"/>
      <w:lvlText w:val="%1."/>
      <w:numFmt w:val="decimal"/>
      <w:start w:val="4"/>
    </w:lvl>
  </w:abstractNum>
  <w:abstractNum w:abstractNumId="225">
    <w:nsid w:val="7F65FD16"/>
    <w:multiLevelType w:val="hybridMultilevel"/>
    <w:lvl w:ilvl="0">
      <w:lvlJc w:val="left"/>
      <w:lvlText w:val="*"/>
      <w:numFmt w:val="bullet"/>
      <w:start w:val="1"/>
    </w:lvl>
  </w:abstractNum>
  <w:abstractNum w:abstractNumId="226">
    <w:nsid w:val="77C9FD68"/>
    <w:multiLevelType w:val="hybridMultilevel"/>
    <w:lvl w:ilvl="0">
      <w:lvlJc w:val="left"/>
      <w:lvlText w:val="*"/>
      <w:numFmt w:val="bullet"/>
      <w:start w:val="1"/>
    </w:lvl>
  </w:abstractNum>
  <w:abstractNum w:abstractNumId="227">
    <w:nsid w:val="298A92BA"/>
    <w:multiLevelType w:val="hybridMultilevel"/>
    <w:lvl w:ilvl="0">
      <w:lvlJc w:val="left"/>
      <w:lvlText w:val="*"/>
      <w:numFmt w:val="bullet"/>
      <w:start w:val="1"/>
    </w:lvl>
  </w:abstractNum>
  <w:abstractNum w:abstractNumId="228">
    <w:nsid w:val="6FE95EAC"/>
    <w:multiLevelType w:val="hybridMultilevel"/>
    <w:lvl w:ilvl="0">
      <w:lvlJc w:val="left"/>
      <w:lvlText w:val="%1."/>
      <w:numFmt w:val="lowerLetter"/>
      <w:start w:val="1"/>
    </w:lvl>
  </w:abstractNum>
  <w:abstractNum w:abstractNumId="229">
    <w:nsid w:val="4B697C7A"/>
    <w:multiLevelType w:val="hybridMultilevel"/>
    <w:lvl w:ilvl="0">
      <w:lvlJc w:val="left"/>
      <w:lvlText w:val="%1."/>
      <w:numFmt w:val="lowerLetter"/>
      <w:start w:val="2"/>
    </w:lvl>
  </w:abstractNum>
  <w:abstractNum w:abstractNumId="230">
    <w:nsid w:val="51A27AA6"/>
    <w:multiLevelType w:val="hybridMultilevel"/>
    <w:lvl w:ilvl="0">
      <w:lvlJc w:val="left"/>
      <w:lvlText w:val="%1."/>
      <w:numFmt w:val="lowerLetter"/>
      <w:start w:val="3"/>
    </w:lvl>
  </w:abstractNum>
  <w:abstractNum w:abstractNumId="231">
    <w:nsid w:val="613183F2"/>
    <w:multiLevelType w:val="hybridMultilevel"/>
    <w:lvl w:ilvl="0">
      <w:lvlJc w:val="left"/>
      <w:lvlText w:val="(%1)"/>
      <w:numFmt w:val="lowerLetter"/>
      <w:start w:val="1"/>
    </w:lvl>
  </w:abstractNum>
  <w:abstractNum w:abstractNumId="232">
    <w:nsid w:val="634102B4"/>
    <w:multiLevelType w:val="hybridMultilevel"/>
    <w:lvl w:ilvl="0">
      <w:lvlJc w:val="left"/>
      <w:lvlText w:val="%1."/>
      <w:numFmt w:val="decimal"/>
      <w:start w:val="1"/>
    </w:lvl>
  </w:abstractNum>
  <w:abstractNum w:abstractNumId="233">
    <w:nsid w:val="65BF9DA8"/>
    <w:multiLevelType w:val="hybridMultilevel"/>
    <w:lvl w:ilvl="0">
      <w:lvlJc w:val="left"/>
      <w:lvlText w:val="%1."/>
      <w:numFmt w:val="decimal"/>
      <w:start w:val="1"/>
    </w:lvl>
  </w:abstractNum>
  <w:abstractNum w:abstractNumId="234">
    <w:nsid w:val="21A2ECCA"/>
    <w:multiLevelType w:val="hybridMultilevel"/>
    <w:lvl w:ilvl="0">
      <w:lvlJc w:val="left"/>
      <w:lvlText w:val="(%1)"/>
      <w:numFmt w:val="decimal"/>
      <w:start w:val="1"/>
    </w:lvl>
  </w:abstractNum>
  <w:abstractNum w:abstractNumId="235">
    <w:nsid w:val="4D5C4899"/>
    <w:multiLevelType w:val="hybridMultilevel"/>
    <w:lvl w:ilvl="0">
      <w:lvlJc w:val="left"/>
      <w:lvlText w:val="(%1)"/>
      <w:numFmt w:val="decimal"/>
      <w:start w:val="1"/>
    </w:lvl>
  </w:abstractNum>
  <w:abstractNum w:abstractNumId="236">
    <w:nsid w:val="3C3B72B2"/>
    <w:multiLevelType w:val="hybridMultilevel"/>
    <w:lvl w:ilvl="0">
      <w:lvlJc w:val="left"/>
      <w:lvlText w:val="%1."/>
      <w:numFmt w:val="decimal"/>
      <w:start w:val="17"/>
    </w:lvl>
  </w:abstractNum>
  <w:abstractNum w:abstractNumId="237">
    <w:nsid w:val="155EC4C2"/>
    <w:multiLevelType w:val="hybridMultilevel"/>
    <w:lvl w:ilvl="0">
      <w:lvlJc w:val="left"/>
      <w:lvlText w:val="%1."/>
      <w:numFmt w:val="decimal"/>
      <w:start w:val="1"/>
    </w:lvl>
  </w:abstractNum>
  <w:abstractNum w:abstractNumId="238">
    <w:nsid w:val="65D2A137"/>
    <w:multiLevelType w:val="hybridMultilevel"/>
    <w:lvl w:ilvl="0">
      <w:lvlJc w:val="left"/>
      <w:lvlText w:val="(%1)"/>
      <w:numFmt w:val="lowerRoman"/>
      <w:start w:val="3"/>
    </w:lvl>
  </w:abstractNum>
  <w:abstractNum w:abstractNumId="239">
    <w:nsid w:val="6EBB1F2A"/>
    <w:multiLevelType w:val="hybridMultilevel"/>
    <w:lvl w:ilvl="0">
      <w:lvlJc w:val="left"/>
      <w:lvlText w:val="(%1)"/>
      <w:numFmt w:val="lowerLetter"/>
      <w:start w:val="1"/>
    </w:lvl>
  </w:abstractNum>
  <w:abstractNum w:abstractNumId="240">
    <w:nsid w:val="6FBF29CB"/>
    <w:multiLevelType w:val="hybridMultilevel"/>
    <w:lvl w:ilvl="0">
      <w:lvlJc w:val="left"/>
      <w:lvlText w:val="(%1)"/>
      <w:numFmt w:val="lowerRoman"/>
      <w:start w:val="1"/>
    </w:lvl>
  </w:abstractNum>
  <w:abstractNum w:abstractNumId="241">
    <w:nsid w:val="550B8808"/>
    <w:multiLevelType w:val="hybridMultilevel"/>
    <w:lvl w:ilvl="0">
      <w:lvlJc w:val="left"/>
      <w:lvlText w:val="(%1)"/>
      <w:numFmt w:val="lowerLetter"/>
      <w:start w:val="1"/>
    </w:lvl>
  </w:abstractNum>
  <w:abstractNum w:abstractNumId="242">
    <w:nsid w:val="34CC3ACF"/>
    <w:multiLevelType w:val="hybridMultilevel"/>
    <w:lvl w:ilvl="0">
      <w:lvlJc w:val="left"/>
      <w:lvlText w:val="(%1)"/>
      <w:numFmt w:val="lowerLetter"/>
      <w:start w:val="3"/>
    </w:lvl>
  </w:abstractNum>
  <w:abstractNum w:abstractNumId="243">
    <w:nsid w:val="4E556261"/>
    <w:multiLevelType w:val="hybridMultilevel"/>
    <w:lvl w:ilvl="0">
      <w:lvlJc w:val="left"/>
      <w:lvlText w:val="(%1)"/>
      <w:numFmt w:val="upperLetter"/>
      <w:start w:val="1"/>
    </w:lvl>
  </w:abstractNum>
  <w:abstractNum w:abstractNumId="244">
    <w:nsid w:val="4C672FC9"/>
    <w:multiLevelType w:val="hybridMultilevel"/>
    <w:lvl w:ilvl="0">
      <w:lvlJc w:val="left"/>
      <w:lvlText w:val="(%1)"/>
      <w:numFmt w:val="lowerLetter"/>
      <w:start w:val="1"/>
    </w:lvl>
  </w:abstractNum>
  <w:abstractNum w:abstractNumId="245">
    <w:nsid w:val="52A311C3"/>
    <w:multiLevelType w:val="hybridMultilevel"/>
    <w:lvl w:ilvl="0">
      <w:lvlJc w:val="left"/>
      <w:lvlText w:val="(%1)"/>
      <w:numFmt w:val="lowerLetter"/>
      <w:start w:val="2"/>
    </w:lvl>
  </w:abstractNum>
  <w:abstractNum w:abstractNumId="246">
    <w:nsid w:val="44EF6B80"/>
    <w:multiLevelType w:val="hybridMultilevel"/>
    <w:lvl w:ilvl="0">
      <w:lvlJc w:val="left"/>
      <w:lvlText w:val="%1"/>
      <w:numFmt w:val="lowerLetter"/>
      <w:start w:val="1"/>
    </w:lvl>
    <w:lvl w:ilvl="1">
      <w:lvlJc w:val="left"/>
      <w:lvlText w:val="(%2)"/>
      <w:numFmt w:val="lowerLetter"/>
      <w:start w:val="1"/>
    </w:lvl>
  </w:abstractNum>
  <w:abstractNum w:abstractNumId="247">
    <w:nsid w:val="12FCDE5E"/>
    <w:multiLevelType w:val="hybridMultilevel"/>
    <w:lvl w:ilvl="0">
      <w:lvlJc w:val="left"/>
      <w:lvlText w:val="(%1)"/>
      <w:numFmt w:val="lowerLetter"/>
      <w:start w:val="61"/>
    </w:lvl>
    <w:lvl w:ilvl="1">
      <w:lvlJc w:val="left"/>
      <w:lvlText w:val="(%2)"/>
      <w:numFmt w:val="lowerLetter"/>
      <w:start w:val="2"/>
    </w:lvl>
  </w:abstractNum>
  <w:abstractNum w:abstractNumId="248">
    <w:nsid w:val="4A1D606E"/>
    <w:multiLevelType w:val="hybridMultilevel"/>
    <w:lvl w:ilvl="0">
      <w:lvlJc w:val="left"/>
      <w:lvlText w:val="(%1)"/>
      <w:numFmt w:val="lowerLetter"/>
      <w:start w:val="3"/>
    </w:lvl>
  </w:abstractNum>
  <w:abstractNum w:abstractNumId="249">
    <w:nsid w:val="4382503"/>
    <w:multiLevelType w:val="hybridMultilevel"/>
    <w:lvl w:ilvl="0">
      <w:lvlJc w:val="left"/>
      <w:lvlText w:val="(%1)"/>
      <w:numFmt w:val="lowerLetter"/>
      <w:start w:val="2"/>
    </w:lvl>
  </w:abstractNum>
  <w:abstractNum w:abstractNumId="250">
    <w:nsid w:val="59B76E28"/>
    <w:multiLevelType w:val="hybridMultilevel"/>
    <w:lvl w:ilvl="0">
      <w:lvlJc w:val="left"/>
      <w:lvlText w:val="(%1)"/>
      <w:numFmt w:val="lowerRoman"/>
      <w:start w:val="2"/>
    </w:lvl>
  </w:abstractNum>
  <w:abstractNum w:abstractNumId="251">
    <w:nsid w:val="4252C2DA"/>
    <w:multiLevelType w:val="hybridMultilevel"/>
    <w:lvl w:ilvl="0">
      <w:lvlJc w:val="left"/>
      <w:lvlText w:val="%1"/>
      <w:numFmt w:val="lowerLetter"/>
      <w:start w:val="1"/>
    </w:lvl>
    <w:lvl w:ilvl="1">
      <w:lvlJc w:val="left"/>
      <w:lvlText w:val="(%2)"/>
      <w:numFmt w:val="lowerLetter"/>
      <w:start w:val="1"/>
    </w:lvl>
  </w:abstractNum>
  <w:abstractNum w:abstractNumId="252">
    <w:nsid w:val="6A92EF4C"/>
    <w:multiLevelType w:val="hybridMultilevel"/>
    <w:lvl w:ilvl="0">
      <w:lvlJc w:val="left"/>
      <w:lvlText w:val="(%1)"/>
      <w:numFmt w:val="lowerLetter"/>
      <w:start w:val="25"/>
    </w:lvl>
    <w:lvl w:ilvl="1">
      <w:lvlJc w:val="left"/>
      <w:lvlText w:val="%2"/>
      <w:numFmt w:val="lowerLetter"/>
      <w:start w:val="1"/>
    </w:lvl>
  </w:abstractNum>
  <w:abstractNum w:abstractNumId="253">
    <w:nsid w:val="41ED20D7"/>
    <w:multiLevelType w:val="hybridMultilevel"/>
    <w:lvl w:ilvl="0">
      <w:lvlJc w:val="left"/>
      <w:lvlText w:val="(%1)"/>
      <w:numFmt w:val="lowerLetter"/>
      <w:start w:val="2"/>
    </w:lvl>
  </w:abstractNum>
  <w:abstractNum w:abstractNumId="254">
    <w:nsid w:val="E6B3F6A"/>
    <w:multiLevelType w:val="hybridMultilevel"/>
    <w:lvl w:ilvl="0">
      <w:lvlJc w:val="left"/>
      <w:lvlText w:val="(%1)"/>
      <w:numFmt w:val="lowerLetter"/>
      <w:start w:val="1"/>
    </w:lvl>
  </w:abstractNum>
  <w:abstractNum w:abstractNumId="255">
    <w:nsid w:val="3EB21819"/>
    <w:multiLevelType w:val="hybridMultilevel"/>
    <w:lvl w:ilvl="0">
      <w:lvlJc w:val="left"/>
      <w:lvlText w:val="(%1)"/>
      <w:numFmt w:val="lowerLetter"/>
      <w:start w:val="3"/>
    </w:lvl>
  </w:abstractNum>
  <w:abstractNum w:abstractNumId="256">
    <w:nsid w:val="41531DED"/>
    <w:multiLevelType w:val="hybridMultilevel"/>
    <w:lvl w:ilvl="0">
      <w:lvlJc w:val="left"/>
      <w:lvlText w:val="(%1)"/>
      <w:numFmt w:val="lowerRoman"/>
      <w:start w:val="2"/>
    </w:lvl>
  </w:abstractNum>
  <w:abstractNum w:abstractNumId="257">
    <w:nsid w:val="6353CD2"/>
    <w:multiLevelType w:val="hybridMultilevel"/>
    <w:lvl w:ilvl="0">
      <w:lvlJc w:val="left"/>
      <w:lvlText w:val="(%1)"/>
      <w:numFmt w:val="lowerRoman"/>
      <w:start w:val="6"/>
    </w:lvl>
  </w:abstractNum>
  <w:abstractNum w:abstractNumId="258">
    <w:nsid w:val="683CAAD3"/>
    <w:multiLevelType w:val="hybridMultilevel"/>
    <w:lvl w:ilvl="0">
      <w:lvlJc w:val="left"/>
      <w:lvlText w:val="(%1)"/>
      <w:numFmt w:val="lowerRoman"/>
      <w:start w:val="1"/>
    </w:lvl>
  </w:abstractNum>
  <w:abstractNum w:abstractNumId="259">
    <w:nsid w:val="313C7C99"/>
    <w:multiLevelType w:val="hybridMultilevel"/>
    <w:lvl w:ilvl="0">
      <w:lvlJc w:val="left"/>
      <w:lvlText w:val="(%1)"/>
      <w:numFmt w:val="lowerLetter"/>
      <w:start w:val="22"/>
    </w:lvl>
  </w:abstractNum>
  <w:abstractNum w:abstractNumId="260">
    <w:nsid w:val="519EB94C"/>
    <w:multiLevelType w:val="hybridMultilevel"/>
    <w:lvl w:ilvl="0">
      <w:lvlJc w:val="left"/>
      <w:lvlText w:val="(%1)"/>
      <w:numFmt w:val="lowerLetter"/>
      <w:start w:val="2"/>
    </w:lvl>
  </w:abstractNum>
  <w:abstractNum w:abstractNumId="261">
    <w:nsid w:val="39DF2579"/>
    <w:multiLevelType w:val="hybridMultilevel"/>
    <w:lvl w:ilvl="0">
      <w:lvlJc w:val="left"/>
      <w:lvlText w:val="(%1)"/>
      <w:numFmt w:val="lowerRoman"/>
      <w:start w:val="2"/>
    </w:lvl>
  </w:abstractNum>
  <w:abstractNum w:abstractNumId="262">
    <w:nsid w:val="126E008B"/>
    <w:multiLevelType w:val="hybridMultilevel"/>
    <w:lvl w:ilvl="0">
      <w:lvlJc w:val="left"/>
      <w:lvlText w:val="(%1)"/>
      <w:numFmt w:val="lowerLetter"/>
      <w:start w:val="1"/>
    </w:lvl>
  </w:abstractNum>
  <w:abstractNum w:abstractNumId="263">
    <w:nsid w:val="34DFBC00"/>
    <w:multiLevelType w:val="hybridMultilevel"/>
    <w:lvl w:ilvl="0">
      <w:lvlJc w:val="left"/>
      <w:lvlText w:val="(%1)"/>
      <w:numFmt w:val="lowerLetter"/>
      <w:start w:val="1"/>
    </w:lvl>
  </w:abstractNum>
  <w:abstractNum w:abstractNumId="264">
    <w:nsid w:val="1F9EC322"/>
    <w:multiLevelType w:val="hybridMultilevel"/>
    <w:lvl w:ilvl="0">
      <w:lvlJc w:val="left"/>
      <w:lvlText w:val="(%1)"/>
      <w:numFmt w:val="decimal"/>
      <w:start w:val="1"/>
    </w:lvl>
  </w:abstractNum>
  <w:abstractNum w:abstractNumId="265">
    <w:nsid w:val="3410ED56"/>
    <w:multiLevelType w:val="hybridMultilevel"/>
    <w:lvl w:ilvl="0">
      <w:lvlJc w:val="left"/>
      <w:lvlText w:val="(%1)"/>
      <w:numFmt w:val="decimal"/>
      <w:start w:val="2"/>
    </w:lvl>
  </w:abstractNum>
  <w:abstractNum w:abstractNumId="266">
    <w:nsid w:val="23C049A"/>
    <w:multiLevelType w:val="hybridMultilevel"/>
    <w:lvl w:ilvl="0">
      <w:lvlJc w:val="left"/>
      <w:lvlText w:val="(%1)"/>
      <w:numFmt w:val="decimal"/>
      <w:start w:val="3"/>
    </w:lvl>
  </w:abstractNum>
  <w:abstractNum w:abstractNumId="267">
    <w:nsid w:val="5BDA35D4"/>
    <w:multiLevelType w:val="hybridMultilevel"/>
    <w:lvl w:ilvl="0">
      <w:lvlJc w:val="left"/>
      <w:lvlText w:val="(%1)"/>
      <w:numFmt w:val="decimal"/>
      <w:start w:val="4"/>
    </w:lvl>
  </w:abstractNum>
  <w:abstractNum w:abstractNumId="268">
    <w:nsid w:val="496FB218"/>
    <w:multiLevelType w:val="hybridMultilevel"/>
    <w:lvl w:ilvl="0">
      <w:lvlJc w:val="left"/>
      <w:lvlText w:val="(%1)"/>
      <w:numFmt w:val="decimal"/>
      <w:start w:val="5"/>
    </w:lvl>
  </w:abstractNum>
  <w:abstractNum w:abstractNumId="269">
    <w:nsid w:val="680EA5D1"/>
    <w:multiLevelType w:val="hybridMultilevel"/>
    <w:lvl w:ilvl="0">
      <w:lvlJc w:val="left"/>
      <w:lvlText w:val="(%1)"/>
      <w:numFmt w:val="decimal"/>
      <w:start w:val="7"/>
    </w:lvl>
  </w:abstractNum>
  <w:abstractNum w:abstractNumId="270">
    <w:nsid w:val="4A9554FE"/>
    <w:multiLevelType w:val="hybridMultilevel"/>
    <w:lvl w:ilvl="0">
      <w:lvlJc w:val="left"/>
      <w:lvlText w:val="(%1)"/>
      <w:numFmt w:val="decimal"/>
      <w:start w:val="8"/>
    </w:lvl>
  </w:abstractNum>
  <w:abstractNum w:abstractNumId="271">
    <w:nsid w:val="392EDBE4"/>
    <w:multiLevelType w:val="hybridMultilevel"/>
    <w:lvl w:ilvl="0">
      <w:lvlJc w:val="left"/>
      <w:lvlText w:val="%1"/>
      <w:numFmt w:val="lowerRoman"/>
      <w:start w:val="1"/>
    </w:lvl>
    <w:lvl w:ilvl="1">
      <w:lvlJc w:val="left"/>
      <w:lvlText w:val="(%2)"/>
      <w:numFmt w:val="decimal"/>
      <w:start w:val="10"/>
    </w:lvl>
  </w:abstractNum>
  <w:abstractNum w:abstractNumId="272">
    <w:nsid w:val="3D1A2DD9"/>
    <w:multiLevelType w:val="hybridMultilevel"/>
    <w:lvl w:ilvl="0">
      <w:lvlJc w:val="left"/>
      <w:lvlText w:val="(%1)"/>
      <w:numFmt w:val="lowerRoman"/>
      <w:start w:val="1"/>
    </w:lvl>
    <w:lvl w:ilvl="1">
      <w:lvlJc w:val="left"/>
      <w:lvlText w:val="%2"/>
      <w:numFmt w:val="decimal"/>
      <w:start w:val="1"/>
    </w:lvl>
  </w:abstractNum>
  <w:abstractNum w:abstractNumId="273">
    <w:nsid w:val="7F618FCD"/>
    <w:multiLevelType w:val="hybridMultilevel"/>
    <w:lvl w:ilvl="0">
      <w:lvlJc w:val="left"/>
      <w:lvlText w:val="(%1)"/>
      <w:numFmt w:val="lowerRoman"/>
      <w:start w:val="4"/>
    </w:lvl>
  </w:abstractNum>
  <w:abstractNum w:abstractNumId="274">
    <w:nsid w:val="7843E45"/>
    <w:multiLevelType w:val="hybridMultilevel"/>
    <w:lvl w:ilvl="0">
      <w:lvlJc w:val="left"/>
      <w:lvlText w:val="(%1)"/>
      <w:numFmt w:val="lowerLetter"/>
      <w:start w:val="1"/>
    </w:lvl>
  </w:abstractNum>
  <w:abstractNum w:abstractNumId="275">
    <w:nsid w:val="9815DA3"/>
    <w:multiLevelType w:val="hybridMultilevel"/>
    <w:lvl w:ilvl="0">
      <w:lvlJc w:val="left"/>
      <w:lvlText w:val="(%1)"/>
      <w:numFmt w:val="lowerLetter"/>
      <w:start w:val="5"/>
    </w:lvl>
  </w:abstractNum>
  <w:abstractNum w:abstractNumId="276">
    <w:nsid w:val="5204A191"/>
    <w:multiLevelType w:val="hybridMultilevel"/>
    <w:lvl w:ilvl="0">
      <w:lvlJc w:val="left"/>
      <w:lvlText w:val="%1"/>
      <w:numFmt w:val="lowerLetter"/>
      <w:start w:val="1"/>
    </w:lvl>
    <w:lvl w:ilvl="1">
      <w:lvlJc w:val="left"/>
      <w:lvlText w:val="(%2)"/>
      <w:numFmt w:val="decimal"/>
      <w:start w:val="12"/>
    </w:lvl>
  </w:abstractNum>
  <w:abstractNum w:abstractNumId="277">
    <w:nsid w:val="4C73A9C6"/>
    <w:multiLevelType w:val="hybridMultilevel"/>
    <w:lvl w:ilvl="0">
      <w:lvlJc w:val="left"/>
      <w:lvlText w:val="(%1)"/>
      <w:numFmt w:val="lowerLetter"/>
      <w:start w:val="2"/>
    </w:lvl>
    <w:lvl w:ilvl="1">
      <w:lvlJc w:val="left"/>
      <w:lvlText w:val="%2"/>
      <w:numFmt w:val="decimal"/>
      <w:start w:val="1"/>
    </w:lvl>
  </w:abstractNum>
  <w:abstractNum w:abstractNumId="278">
    <w:nsid w:val="1C7E3C01"/>
    <w:multiLevelType w:val="hybridMultilevel"/>
    <w:lvl w:ilvl="0">
      <w:lvlJc w:val="left"/>
      <w:lvlText w:val="(%1)"/>
      <w:numFmt w:val="decimal"/>
      <w:start w:val="15"/>
    </w:lvl>
  </w:abstractNum>
  <w:abstractNum w:abstractNumId="279">
    <w:nsid w:val="1C2201FF"/>
    <w:multiLevelType w:val="hybridMultilevel"/>
    <w:lvl w:ilvl="0">
      <w:lvlJc w:val="left"/>
      <w:lvlText w:val="(%1)"/>
      <w:numFmt w:val="lowerLetter"/>
      <w:start w:val="1"/>
    </w:lvl>
  </w:abstractNum>
  <w:abstractNum w:abstractNumId="280">
    <w:nsid w:val="50ABCEC9"/>
    <w:multiLevelType w:val="hybridMultilevel"/>
    <w:lvl w:ilvl="0">
      <w:lvlJc w:val="left"/>
      <w:lvlText w:val="(%1)"/>
      <w:numFmt w:val="lowerLetter"/>
      <w:start w:val="2"/>
    </w:lvl>
  </w:abstractNum>
  <w:abstractNum w:abstractNumId="281">
    <w:nsid w:val="7635AA2A"/>
    <w:multiLevelType w:val="hybridMultilevel"/>
    <w:lvl w:ilvl="0">
      <w:lvlJc w:val="left"/>
      <w:lvlText w:val="%1"/>
      <w:numFmt w:val="lowerLetter"/>
      <w:start w:val="1"/>
    </w:lvl>
    <w:lvl w:ilvl="1">
      <w:lvlJc w:val="left"/>
      <w:lvlText w:val="(%2)"/>
      <w:numFmt w:val="lowerLetter"/>
      <w:start w:val="3"/>
    </w:lvl>
  </w:abstractNum>
  <w:abstractNum w:abstractNumId="282">
    <w:nsid w:val="5E74C4D9"/>
    <w:multiLevelType w:val="hybridMultilevel"/>
    <w:lvl w:ilvl="0">
      <w:lvlJc w:val="left"/>
      <w:lvlText w:val="(%1)"/>
      <w:numFmt w:val="lowerLetter"/>
      <w:start w:val="24"/>
    </w:lvl>
    <w:lvl w:ilvl="1">
      <w:lvlJc w:val="left"/>
      <w:lvlText w:val="%2"/>
      <w:numFmt w:val="lowerLetter"/>
      <w:start w:val="1"/>
    </w:lvl>
  </w:abstractNum>
  <w:abstractNum w:abstractNumId="283">
    <w:nsid w:val="3B3EBE15"/>
    <w:multiLevelType w:val="hybridMultilevel"/>
    <w:lvl w:ilvl="0">
      <w:lvlJc w:val="left"/>
      <w:lvlText w:val="(%1)"/>
      <w:numFmt w:val="lowerLetter"/>
      <w:start w:val="5"/>
    </w:lvl>
  </w:abstractNum>
  <w:abstractNum w:abstractNumId="284">
    <w:nsid w:val="3822CB01"/>
    <w:multiLevelType w:val="hybridMultilevel"/>
    <w:lvl w:ilvl="0">
      <w:lvlJc w:val="left"/>
      <w:lvlText w:val="(%1)"/>
      <w:numFmt w:val="lowerRoman"/>
      <w:start w:val="2"/>
    </w:lvl>
  </w:abstractNum>
  <w:abstractNum w:abstractNumId="285">
    <w:nsid w:val="6CE00443"/>
    <w:multiLevelType w:val="hybridMultilevel"/>
    <w:lvl w:ilvl="0">
      <w:lvlJc w:val="left"/>
      <w:lvlText w:val="(%1)"/>
      <w:numFmt w:val="decimal"/>
      <w:start w:val="16"/>
    </w:lvl>
  </w:abstractNum>
  <w:abstractNum w:abstractNumId="286">
    <w:nsid w:val="79F0D62F"/>
    <w:multiLevelType w:val="hybridMultilevel"/>
    <w:lvl w:ilvl="0">
      <w:lvlJc w:val="left"/>
      <w:lvlText w:val="(%1)"/>
      <w:numFmt w:val="decimal"/>
      <w:start w:val="17"/>
    </w:lvl>
  </w:abstractNum>
  <w:abstractNum w:abstractNumId="287">
    <w:nsid w:val="7975E8EE"/>
    <w:multiLevelType w:val="hybridMultilevel"/>
    <w:lvl w:ilvl="0">
      <w:lvlJc w:val="left"/>
      <w:lvlText w:val="(%1)"/>
      <w:numFmt w:val="decimal"/>
      <w:start w:val="19"/>
    </w:lvl>
  </w:abstractNum>
  <w:abstractNum w:abstractNumId="288">
    <w:nsid w:val="73154115"/>
    <w:multiLevelType w:val="hybridMultilevel"/>
    <w:lvl w:ilvl="0">
      <w:lvlJc w:val="left"/>
      <w:lvlText w:val="(%1)"/>
      <w:numFmt w:val="decimal"/>
      <w:start w:val="21"/>
    </w:lvl>
  </w:abstractNum>
  <w:abstractNum w:abstractNumId="289">
    <w:nsid w:val="622D8102"/>
    <w:multiLevelType w:val="hybridMultilevel"/>
    <w:lvl w:ilvl="0">
      <w:lvlJc w:val="left"/>
      <w:lvlText w:val="%1"/>
      <w:numFmt w:val="lowerRoman"/>
      <w:start w:val="1"/>
    </w:lvl>
    <w:lvl w:ilvl="1">
      <w:lvlJc w:val="left"/>
      <w:lvlText w:val="(%2)"/>
      <w:numFmt w:val="decimal"/>
      <w:start w:val="22"/>
    </w:lvl>
  </w:abstractNum>
  <w:abstractNum w:abstractNumId="290">
    <w:nsid w:val="2AB26587"/>
    <w:multiLevelType w:val="hybridMultilevel"/>
    <w:lvl w:ilvl="0">
      <w:lvlJc w:val="left"/>
      <w:lvlText w:val="(%1)"/>
      <w:numFmt w:val="lowerRoman"/>
      <w:start w:val="1"/>
    </w:lvl>
    <w:lvl w:ilvl="1">
      <w:lvlJc w:val="left"/>
      <w:lvlText w:val="%2"/>
      <w:numFmt w:val="decimal"/>
      <w:start w:val="1"/>
    </w:lvl>
  </w:abstractNum>
  <w:abstractNum w:abstractNumId="291">
    <w:nsid w:val="44B3FA61"/>
    <w:multiLevelType w:val="hybridMultilevel"/>
    <w:lvl w:ilvl="0">
      <w:lvlJc w:val="left"/>
      <w:lvlText w:val="(%1)"/>
      <w:numFmt w:val="decimal"/>
      <w:start w:val="23"/>
    </w:lvl>
  </w:abstractNum>
  <w:abstractNum w:abstractNumId="292">
    <w:nsid w:val="1C0CA67C"/>
    <w:multiLevelType w:val="hybridMultilevel"/>
    <w:lvl w:ilvl="0">
      <w:lvlJc w:val="left"/>
      <w:lvlText w:val="(%1)"/>
      <w:numFmt w:val="decimal"/>
      <w:start w:val="25"/>
    </w:lvl>
  </w:abstractNum>
  <w:abstractNum w:abstractNumId="293">
    <w:nsid w:val="3D206613"/>
    <w:multiLevelType w:val="hybridMultilevel"/>
    <w:lvl w:ilvl="0">
      <w:lvlJc w:val="left"/>
      <w:lvlText w:val="(%1)"/>
      <w:numFmt w:val="lowerLetter"/>
      <w:start w:val="2"/>
    </w:lvl>
  </w:abstractNum>
  <w:abstractNum w:abstractNumId="294">
    <w:nsid w:val="7993B662"/>
    <w:multiLevelType w:val="hybridMultilevel"/>
    <w:lvl w:ilvl="0">
      <w:lvlJc w:val="left"/>
      <w:lvlText w:val="%1"/>
      <w:numFmt w:val="lowerRoman"/>
      <w:start w:val="1"/>
    </w:lvl>
    <w:lvl w:ilvl="1">
      <w:lvlJc w:val="left"/>
      <w:lvlText w:val="(%2)"/>
      <w:numFmt w:val="decimal"/>
      <w:start w:val="26"/>
    </w:lvl>
  </w:abstractNum>
  <w:abstractNum w:abstractNumId="295">
    <w:nsid w:val="3BAB699E"/>
    <w:multiLevelType w:val="hybridMultilevel"/>
    <w:lvl w:ilvl="0">
      <w:lvlJc w:val="left"/>
      <w:lvlText w:val="(%1)"/>
      <w:numFmt w:val="lowerRoman"/>
      <w:start w:val="2"/>
    </w:lvl>
    <w:lvl w:ilvl="1">
      <w:lvlJc w:val="left"/>
      <w:lvlText w:val="(%2)"/>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8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7" Type="http://schemas.openxmlformats.org/officeDocument/2006/relationships/image" Target="media/image489.png"/><Relationship Id="rId528" Type="http://schemas.openxmlformats.org/officeDocument/2006/relationships/image" Target="media/image490.png"/><Relationship Id="rId529" Type="http://schemas.openxmlformats.org/officeDocument/2006/relationships/image" Target="media/image491.png"/><Relationship Id="rId530" Type="http://schemas.openxmlformats.org/officeDocument/2006/relationships/image" Target="media/image492.pn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5" Type="http://schemas.openxmlformats.org/officeDocument/2006/relationships/image" Target="media/image497.png"/><Relationship Id="rId536" Type="http://schemas.openxmlformats.org/officeDocument/2006/relationships/image" Target="media/image498.png"/><Relationship Id="rId537" Type="http://schemas.openxmlformats.org/officeDocument/2006/relationships/image" Target="media/image499.png"/><Relationship Id="rId538" Type="http://schemas.openxmlformats.org/officeDocument/2006/relationships/image" Target="media/image500.png"/><Relationship Id="rId539" Type="http://schemas.openxmlformats.org/officeDocument/2006/relationships/image" Target="media/image501.png"/><Relationship Id="rId540" Type="http://schemas.openxmlformats.org/officeDocument/2006/relationships/image" Target="media/image502.png"/><Relationship Id="rId541" Type="http://schemas.openxmlformats.org/officeDocument/2006/relationships/image" Target="media/image503.png"/><Relationship Id="rId542" Type="http://schemas.openxmlformats.org/officeDocument/2006/relationships/image" Target="media/image504.png"/><Relationship Id="rId543" Type="http://schemas.openxmlformats.org/officeDocument/2006/relationships/image" Target="media/image505.png"/><Relationship Id="rId544" Type="http://schemas.openxmlformats.org/officeDocument/2006/relationships/image" Target="media/image506.png"/><Relationship Id="rId545" Type="http://schemas.openxmlformats.org/officeDocument/2006/relationships/image" Target="media/image507.png"/><Relationship Id="rId546" Type="http://schemas.openxmlformats.org/officeDocument/2006/relationships/image" Target="media/image508.png"/><Relationship Id="rId547" Type="http://schemas.openxmlformats.org/officeDocument/2006/relationships/image" Target="media/image509.png"/><Relationship Id="rId548" Type="http://schemas.openxmlformats.org/officeDocument/2006/relationships/image" Target="media/image510.png"/><Relationship Id="rId549" Type="http://schemas.openxmlformats.org/officeDocument/2006/relationships/image" Target="media/image511.png"/><Relationship Id="rId550" Type="http://schemas.openxmlformats.org/officeDocument/2006/relationships/image" Target="media/image512.png"/><Relationship Id="rId551" Type="http://schemas.openxmlformats.org/officeDocument/2006/relationships/image" Target="media/image513.png"/><Relationship Id="rId552"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png"/><Relationship Id="rId555" Type="http://schemas.openxmlformats.org/officeDocument/2006/relationships/image" Target="media/image517.png"/><Relationship Id="rId556" Type="http://schemas.openxmlformats.org/officeDocument/2006/relationships/image" Target="media/image518.png"/><Relationship Id="rId557" Type="http://schemas.openxmlformats.org/officeDocument/2006/relationships/image" Target="media/image519.png"/><Relationship Id="rId558" Type="http://schemas.openxmlformats.org/officeDocument/2006/relationships/image" Target="media/image520.png"/><Relationship Id="rId559" Type="http://schemas.openxmlformats.org/officeDocument/2006/relationships/image" Target="media/image521.png"/><Relationship Id="rId560" Type="http://schemas.openxmlformats.org/officeDocument/2006/relationships/image" Target="media/image522.png"/><Relationship Id="rId561" Type="http://schemas.openxmlformats.org/officeDocument/2006/relationships/image" Target="media/image523.png"/><Relationship Id="rId562" Type="http://schemas.openxmlformats.org/officeDocument/2006/relationships/image" Target="media/image524.png"/><Relationship Id="rId563" Type="http://schemas.openxmlformats.org/officeDocument/2006/relationships/image" Target="media/image525.png"/><Relationship Id="rId564" Type="http://schemas.openxmlformats.org/officeDocument/2006/relationships/image" Target="media/image526.png"/><Relationship Id="rId565" Type="http://schemas.openxmlformats.org/officeDocument/2006/relationships/image" Target="media/image527.png"/><Relationship Id="rId566" Type="http://schemas.openxmlformats.org/officeDocument/2006/relationships/image" Target="media/image528.png"/><Relationship Id="rId567" Type="http://schemas.openxmlformats.org/officeDocument/2006/relationships/image" Target="media/image529.png"/><Relationship Id="rId568" Type="http://schemas.openxmlformats.org/officeDocument/2006/relationships/image" Target="media/image530.png"/><Relationship Id="rId569" Type="http://schemas.openxmlformats.org/officeDocument/2006/relationships/image" Target="media/image531.png"/><Relationship Id="rId570" Type="http://schemas.openxmlformats.org/officeDocument/2006/relationships/image" Target="media/image532.png"/><Relationship Id="rId571" Type="http://schemas.openxmlformats.org/officeDocument/2006/relationships/image" Target="media/image533.png"/><Relationship Id="rId572" Type="http://schemas.openxmlformats.org/officeDocument/2006/relationships/image" Target="media/image534.png"/><Relationship Id="rId573" Type="http://schemas.openxmlformats.org/officeDocument/2006/relationships/image" Target="media/image535.png"/><Relationship Id="rId574" Type="http://schemas.openxmlformats.org/officeDocument/2006/relationships/image" Target="media/image536.png"/><Relationship Id="rId575" Type="http://schemas.openxmlformats.org/officeDocument/2006/relationships/image" Target="media/image537.png"/><Relationship Id="rId576" Type="http://schemas.openxmlformats.org/officeDocument/2006/relationships/image" Target="media/image538.png"/><Relationship Id="rId577" Type="http://schemas.openxmlformats.org/officeDocument/2006/relationships/image" Target="media/image539.png"/><Relationship Id="rId578" Type="http://schemas.openxmlformats.org/officeDocument/2006/relationships/image" Target="media/image540.png"/><Relationship Id="rId579" Type="http://schemas.openxmlformats.org/officeDocument/2006/relationships/image" Target="media/image541.png"/><Relationship Id="rId580" Type="http://schemas.openxmlformats.org/officeDocument/2006/relationships/image" Target="media/image542.png"/><Relationship Id="rId581" Type="http://schemas.openxmlformats.org/officeDocument/2006/relationships/image" Target="media/image543.png"/><Relationship Id="rId582" Type="http://schemas.openxmlformats.org/officeDocument/2006/relationships/image" Target="media/image544.png"/><Relationship Id="rId583" Type="http://schemas.openxmlformats.org/officeDocument/2006/relationships/image" Target="media/image545.png"/><Relationship Id="rId584" Type="http://schemas.openxmlformats.org/officeDocument/2006/relationships/image" Target="media/image546.png"/><Relationship Id="rId585" Type="http://schemas.openxmlformats.org/officeDocument/2006/relationships/image" Target="media/image547.png"/><Relationship Id="rId586" Type="http://schemas.openxmlformats.org/officeDocument/2006/relationships/image" Target="media/image548.png"/><Relationship Id="rId587" Type="http://schemas.openxmlformats.org/officeDocument/2006/relationships/image" Target="media/image549.png"/><Relationship Id="rId588" Type="http://schemas.openxmlformats.org/officeDocument/2006/relationships/image" Target="media/image550.png"/><Relationship Id="rId589" Type="http://schemas.openxmlformats.org/officeDocument/2006/relationships/image" Target="media/image551.png"/><Relationship Id="rId590" Type="http://schemas.openxmlformats.org/officeDocument/2006/relationships/image" Target="media/image552.png"/><Relationship Id="rId591" Type="http://schemas.openxmlformats.org/officeDocument/2006/relationships/image" Target="media/image553.png"/><Relationship Id="rId592" Type="http://schemas.openxmlformats.org/officeDocument/2006/relationships/image" Target="media/image554.png"/><Relationship Id="rId593" Type="http://schemas.openxmlformats.org/officeDocument/2006/relationships/image" Target="media/image555.png"/><Relationship Id="rId594" Type="http://schemas.openxmlformats.org/officeDocument/2006/relationships/image" Target="media/image556.png"/><Relationship Id="rId595" Type="http://schemas.openxmlformats.org/officeDocument/2006/relationships/image" Target="media/image557.png"/><Relationship Id="rId596" Type="http://schemas.openxmlformats.org/officeDocument/2006/relationships/image" Target="media/image558.png"/><Relationship Id="rId597" Type="http://schemas.openxmlformats.org/officeDocument/2006/relationships/image" Target="media/image559.png"/><Relationship Id="rId598" Type="http://schemas.openxmlformats.org/officeDocument/2006/relationships/image" Target="media/image560.png"/><Relationship Id="rId599" Type="http://schemas.openxmlformats.org/officeDocument/2006/relationships/image" Target="media/image561.png"/><Relationship Id="rId600" Type="http://schemas.openxmlformats.org/officeDocument/2006/relationships/image" Target="media/image562.png"/><Relationship Id="rId601" Type="http://schemas.openxmlformats.org/officeDocument/2006/relationships/image" Target="media/image563.png"/><Relationship Id="rId602" Type="http://schemas.openxmlformats.org/officeDocument/2006/relationships/image" Target="media/image564.png"/><Relationship Id="rId603" Type="http://schemas.openxmlformats.org/officeDocument/2006/relationships/image" Target="media/image565.png"/><Relationship Id="rId604" Type="http://schemas.openxmlformats.org/officeDocument/2006/relationships/image" Target="media/image566.png"/><Relationship Id="rId605" Type="http://schemas.openxmlformats.org/officeDocument/2006/relationships/image" Target="media/image567.png"/><Relationship Id="rId606" Type="http://schemas.openxmlformats.org/officeDocument/2006/relationships/image" Target="media/image568.png"/><Relationship Id="rId607" Type="http://schemas.openxmlformats.org/officeDocument/2006/relationships/image" Target="media/image569.png"/><Relationship Id="rId608" Type="http://schemas.openxmlformats.org/officeDocument/2006/relationships/image" Target="media/image570.png"/><Relationship Id="rId609" Type="http://schemas.openxmlformats.org/officeDocument/2006/relationships/image" Target="media/image571.png"/><Relationship Id="rId610" Type="http://schemas.openxmlformats.org/officeDocument/2006/relationships/image" Target="media/image572.png"/><Relationship Id="rId611" Type="http://schemas.openxmlformats.org/officeDocument/2006/relationships/image" Target="media/image573.png"/><Relationship Id="rId612" Type="http://schemas.openxmlformats.org/officeDocument/2006/relationships/image" Target="media/image574.png"/><Relationship Id="rId613" Type="http://schemas.openxmlformats.org/officeDocument/2006/relationships/image" Target="media/image575.png"/><Relationship Id="rId614" Type="http://schemas.openxmlformats.org/officeDocument/2006/relationships/image" Target="media/image576.png"/><Relationship Id="rId615" Type="http://schemas.openxmlformats.org/officeDocument/2006/relationships/image" Target="media/image577.png"/><Relationship Id="rId616" Type="http://schemas.openxmlformats.org/officeDocument/2006/relationships/image" Target="media/image578.png"/><Relationship Id="rId617" Type="http://schemas.openxmlformats.org/officeDocument/2006/relationships/image" Target="media/image579.png"/><Relationship Id="rId618" Type="http://schemas.openxmlformats.org/officeDocument/2006/relationships/image" Target="media/image580.png"/><Relationship Id="rId619" Type="http://schemas.openxmlformats.org/officeDocument/2006/relationships/image" Target="media/image581.png"/><Relationship Id="rId620" Type="http://schemas.openxmlformats.org/officeDocument/2006/relationships/image" Target="media/image582.png"/><Relationship Id="rId621" Type="http://schemas.openxmlformats.org/officeDocument/2006/relationships/image" Target="media/image583.png"/><Relationship Id="rId622" Type="http://schemas.openxmlformats.org/officeDocument/2006/relationships/image" Target="media/image584.png"/><Relationship Id="rId623" Type="http://schemas.openxmlformats.org/officeDocument/2006/relationships/image" Target="media/image585.png"/><Relationship Id="rId624" Type="http://schemas.openxmlformats.org/officeDocument/2006/relationships/image" Target="media/image586.png"/><Relationship Id="rId625" Type="http://schemas.openxmlformats.org/officeDocument/2006/relationships/image" Target="media/image587.png"/><Relationship Id="rId626" Type="http://schemas.openxmlformats.org/officeDocument/2006/relationships/image" Target="media/image588.png"/><Relationship Id="rId627" Type="http://schemas.openxmlformats.org/officeDocument/2006/relationships/image" Target="media/image589.png"/><Relationship Id="rId628" Type="http://schemas.openxmlformats.org/officeDocument/2006/relationships/image" Target="media/image590.png"/><Relationship Id="rId629" Type="http://schemas.openxmlformats.org/officeDocument/2006/relationships/image" Target="media/image591.png"/><Relationship Id="rId630" Type="http://schemas.openxmlformats.org/officeDocument/2006/relationships/image" Target="media/image592.png"/><Relationship Id="rId631" Type="http://schemas.openxmlformats.org/officeDocument/2006/relationships/image" Target="media/image593.png"/><Relationship Id="rId359" Type="http://schemas.openxmlformats.org/officeDocument/2006/relationships/hyperlink" Target="http://www.sec.gov/Archives/edgar/data/0001782999/000119312520278627/d68105dex31.htm" TargetMode="External"/><Relationship Id="rId360" Type="http://schemas.openxmlformats.org/officeDocument/2006/relationships/hyperlink" Target="http://www.sec.gov/Archives/edgar/data/0001782999/000119312520278627/d68105dex101.htm" TargetMode="External"/><Relationship Id="rId361" Type="http://schemas.openxmlformats.org/officeDocument/2006/relationships/hyperlink" Target="http://www.sec.gov/Archives/edgar/data/0001782999/000119312520278627/d68105dex102.htm" TargetMode="External"/><Relationship Id="rId362" Type="http://schemas.openxmlformats.org/officeDocument/2006/relationships/hyperlink" Target="http://www.sec.gov/Archives/edgar/data/0001782999/000119312520278627/d68105dex103.htm" TargetMode="External"/><Relationship Id="rId363" Type="http://schemas.openxmlformats.org/officeDocument/2006/relationships/hyperlink" Target="http://www.sec.gov/Archives/edgar/data/0001782999/000119312520278627/d68105dex104.htm" TargetMode="External"/><Relationship Id="rId364" Type="http://schemas.openxmlformats.org/officeDocument/2006/relationships/hyperlink" Target="http://www.sec.gov/Archives/edgar/data/0001782999/000119312520278627/d68105dex105.htm" TargetMode="External"/><Relationship Id="rId365" Type="http://schemas.openxmlformats.org/officeDocument/2006/relationships/hyperlink" Target="http://www.sec.gov/Archives/edgar/data/0001782999/000119312520278627/d68105dex106.htm" TargetMode="External"/><Relationship Id="rId366" Type="http://schemas.openxmlformats.org/officeDocument/2006/relationships/hyperlink" Target="http://www.sec.gov/Archives/edgar/data/0001782999/000119312520278627/d68105dex107.htm" TargetMode="External"/><Relationship Id="rId367" Type="http://schemas.openxmlformats.org/officeDocument/2006/relationships/hyperlink" Target="http://www.sec.gov/Archives/edgar/data/0001782999/000119312520278627/d68105dex108.htm" TargetMode="External"/><Relationship Id="rId368" Type="http://schemas.openxmlformats.org/officeDocument/2006/relationships/hyperlink" Target="http://www.sec.gov/Archives/edgar/data/0001782999/000119312520278627/d68105dex109.htm" TargetMode="External"/><Relationship Id="rId369" Type="http://schemas.openxmlformats.org/officeDocument/2006/relationships/hyperlink" Target="http://www.sec.gov/Archives/edgar/data/0001782999/000119312520278627/d68105dex1010.htm" TargetMode="External"/><Relationship Id="rId370" Type="http://schemas.openxmlformats.org/officeDocument/2006/relationships/hyperlink" Target="http://www.sec.gov/Archives/edgar/data/0001782999/000119312520278627/d68105dex1011.htm" TargetMode="External"/><Relationship Id="rId371" Type="http://schemas.openxmlformats.org/officeDocument/2006/relationships/hyperlink" Target="http://www.sec.gov/Archives/edgar/data/0001782999/000119312520278627/d68105dex1012.htm" TargetMode="External"/><Relationship Id="rId372" Type="http://schemas.openxmlformats.org/officeDocument/2006/relationships/hyperlink" Target="http://www.sec.gov/Archives/edgar/data/0001782999/000119312520278627/d68105dex1013.htm" TargetMode="External"/><Relationship Id="rId373" Type="http://schemas.openxmlformats.org/officeDocument/2006/relationships/hyperlink" Target="http://www.sec.gov/Archives/edgar/data/0001782999/000119312520278627/d68105dex1014.htm" TargetMode="External"/><Relationship Id="rId374" Type="http://schemas.openxmlformats.org/officeDocument/2006/relationships/hyperlink" Target="http://www.sec.gov/Archives/edgar/data/0001782999/000119312520278627/d68105dex1015.htm" TargetMode="External"/><Relationship Id="rId375" Type="http://schemas.openxmlformats.org/officeDocument/2006/relationships/hyperlink" Target="http://www.sec.gov/Archives/edgar/data/0001782999/000119312520278627/d68105dex1016.htm" TargetMode="External"/><Relationship Id="rId376" Type="http://schemas.openxmlformats.org/officeDocument/2006/relationships/hyperlink" Target="http://www.sec.gov/Archives/edgar/data/0001782999/000119312520278627/d68105dex1017.htm" TargetMode="External"/><Relationship Id="rId377" Type="http://schemas.openxmlformats.org/officeDocument/2006/relationships/hyperlink" Target="http://www.sec.gov/Archives/edgar/data/0001782999/000119312520278627/d68105dex1018.htm" TargetMode="External"/><Relationship Id="rId378" Type="http://schemas.openxmlformats.org/officeDocument/2006/relationships/hyperlink" Target="http://www.sec.gov/Archives/edgar/data/0001782999/000119312520278627/d68105dex1019.htm" TargetMode="External"/><Relationship Id="rId379" Type="http://schemas.openxmlformats.org/officeDocument/2006/relationships/hyperlink" Target="http://www.sec.gov/Archives/edgar/data/0001782999/000119312520278627/d68105dex1020.htm" TargetMode="External"/><Relationship Id="rId381" Type="http://schemas.openxmlformats.org/officeDocument/2006/relationships/hyperlink" Target="http://www.sec.gov/Archives/edgar/data/0001782999/000119312520278627/d68105dex1021.htm" TargetMode="External"/><Relationship Id="rId382" Type="http://schemas.openxmlformats.org/officeDocument/2006/relationships/hyperlink" Target="http://www.sec.gov/Archives/edgar/data/0001782999/000119312520278627/d68105dex1022.htm" TargetMode="External"/><Relationship Id="rId383" Type="http://schemas.openxmlformats.org/officeDocument/2006/relationships/hyperlink" Target="http://www.sec.gov/Archives/edgar/data/0001782999/000119312520278627/d68105dex1023.htm" TargetMode="External"/><Relationship Id="rId384" Type="http://schemas.openxmlformats.org/officeDocument/2006/relationships/hyperlink" Target="http://www.sec.gov/Archives/edgar/data/0001782999/000119312520278627/d68105dex1024.htm" TargetMode="External"/><Relationship Id="rId385" Type="http://schemas.openxmlformats.org/officeDocument/2006/relationships/hyperlink" Target="http://www.sec.gov/Archives/edgar/data/0001782999/000119312520278627/d68105dex1025.htm" TargetMode="External"/><Relationship Id="rId386" Type="http://schemas.openxmlformats.org/officeDocument/2006/relationships/hyperlink" Target="http://www.sec.gov/Archives/edgar/data/0001782999/000119312520278627/d68105dex1026.htm" TargetMode="External"/><Relationship Id="rId387" Type="http://schemas.openxmlformats.org/officeDocument/2006/relationships/hyperlink" Target="http://www.sec.gov/Archives/edgar/data/0001782999/000119312520278627/d68105dex1027.htm" TargetMode="External"/><Relationship Id="rId388" Type="http://schemas.openxmlformats.org/officeDocument/2006/relationships/hyperlink" Target="http://www.sec.gov/Archives/edgar/data/0001782999/000119312520278627/d68105dex1028.htm" TargetMode="External"/><Relationship Id="rId389" Type="http://schemas.openxmlformats.org/officeDocument/2006/relationships/hyperlink" Target="http://www.sec.gov/Archives/edgar/data/0001782999/000119312520278627/d68105dex1029.htm" TargetMode="External"/><Relationship Id="rId390" Type="http://schemas.openxmlformats.org/officeDocument/2006/relationships/hyperlink" Target="http://www.sec.gov/Archives/edgar/data/0001782999/000119312520278627/d68105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2020-11-09T09:38:10Z</dcterms:created>
  <dcterms:modified xsi:type="dcterms:W3CDTF">2020-11-09T09:38:10Z</dcterms:modified>
</cp:coreProperties>
</file>