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GB00BY2Z0H74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ind w:left="180" w:hanging="118"/>
        <w:spacing w:after="0"/>
        <w:tabs>
          <w:tab w:leader="none" w:pos="1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w:t>
      </w:r>
    </w:p>
    <w:p>
      <w:pPr>
        <w:spacing w:after="0" w:line="98" w:lineRule="exact"/>
        <w:rPr>
          <w:rFonts w:ascii="Times New Roman" w:cs="Times New Roman" w:eastAsia="Times New Roman" w:hAnsi="Times New Roman"/>
          <w:sz w:val="22"/>
          <w:szCs w:val="22"/>
          <w:color w:val="auto"/>
        </w:rPr>
      </w:pPr>
    </w:p>
    <w:p>
      <w:pPr>
        <w:jc w:val="both"/>
        <w:ind w:left="60" w:right="9420" w:firstLine="2"/>
        <w:spacing w:after="0" w:line="360" w:lineRule="auto"/>
        <w:tabs>
          <w:tab w:leader="none" w:pos="186"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13d-1(c) [X] Rule 13d-1(d)</w:t>
      </w:r>
    </w:p>
    <w:p>
      <w:pPr>
        <w:spacing w:after="0" w:line="114" w:lineRule="exact"/>
        <w:rPr>
          <w:rFonts w:ascii="Times New Roman" w:cs="Times New Roman" w:eastAsia="Times New Roman" w:hAnsi="Times New Roman"/>
          <w:sz w:val="22"/>
          <w:szCs w:val="22"/>
          <w:color w:val="auto"/>
        </w:rPr>
      </w:pPr>
    </w:p>
    <w:p>
      <w:pPr>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GB00BY2Z0H74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41,011,890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41,011,890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41,011,890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460" w:right="7660" w:hanging="547"/>
        <w:spacing w:after="0" w:line="286" w:lineRule="auto"/>
        <w:tabs>
          <w:tab w:leader="none" w:pos="14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PureTech Health PLC</w:t>
      </w:r>
    </w:p>
    <w:p>
      <w:pPr>
        <w:spacing w:after="0" w:line="45" w:lineRule="exact"/>
        <w:rPr>
          <w:rFonts w:ascii="Times New Roman" w:cs="Times New Roman" w:eastAsia="Times New Roman" w:hAnsi="Times New Roman"/>
          <w:sz w:val="21"/>
          <w:szCs w:val="21"/>
          <w:b w:val="1"/>
          <w:bCs w:val="1"/>
          <w:color w:val="auto"/>
        </w:rPr>
      </w:pPr>
    </w:p>
    <w:p>
      <w:pPr>
        <w:ind w:left="1460" w:right="5240" w:hanging="547"/>
        <w:spacing w:after="0" w:line="262" w:lineRule="auto"/>
        <w:tabs>
          <w:tab w:leader="none" w:pos="1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 Tide Street, Boston, MA 02210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460" w:right="702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460" w:right="416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1331 Spring Street NW, Suite 2500, Atlanta, GA 30309</w:t>
      </w:r>
    </w:p>
    <w:p>
      <w:pPr>
        <w:spacing w:after="0" w:line="45" w:lineRule="exact"/>
        <w:rPr>
          <w:rFonts w:ascii="Times New Roman" w:cs="Times New Roman" w:eastAsia="Times New Roman" w:hAnsi="Times New Roman"/>
          <w:sz w:val="21"/>
          <w:szCs w:val="21"/>
          <w:b w:val="1"/>
          <w:bCs w:val="1"/>
          <w:color w:val="auto"/>
        </w:rPr>
      </w:pPr>
    </w:p>
    <w:p>
      <w:pPr>
        <w:ind w:left="1460" w:right="850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460" w:right="7160" w:hanging="547"/>
        <w:spacing w:after="0" w:line="262" w:lineRule="auto"/>
        <w:tabs>
          <w:tab w:leader="none" w:pos="1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jc w:val="both"/>
        <w:ind w:left="1460" w:right="802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GB00BY2Z0H74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(a)</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(b)</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(c)</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(d)</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(e)</w:t>
        <w:tab/>
        <w:t>[X]</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(g)</w:t>
        <w:tab/>
        <w:t>[X]</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(h)</w:t>
        <w:tab/>
        <w:t>[ ]</w:t>
      </w:r>
    </w:p>
    <w:p>
      <w:pPr>
        <w:spacing w:after="0" w:line="368"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6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240"/>
            <w:col w:w="880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460" w:hanging="547"/>
        <w:spacing w:after="0"/>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460" w:right="70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in its capacity as a parent holding company to its investment advisers, may be deemed to beneficially own 41,011,890 shares of the Issuer which are held of record by clients of Invesco Ltd.</w:t>
      </w:r>
    </w:p>
    <w:p>
      <w:pPr>
        <w:sectPr>
          <w:pgSz w:w="11900" w:h="16838" w:orient="portrait"/>
          <w:cols w:equalWidth="0" w:num="1">
            <w:col w:w="11020"/>
          </w:cols>
          <w:pgMar w:left="400" w:top="419" w:right="479" w:bottom="0" w:gutter="0" w:footer="0" w:header="0"/>
          <w:type w:val="continuous"/>
        </w:sectPr>
      </w:pPr>
    </w:p>
    <w:p>
      <w:pPr>
        <w:spacing w:after="0" w:line="54" w:lineRule="exact"/>
        <w:rPr>
          <w:sz w:val="20"/>
          <w:szCs w:val="20"/>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17.1%</w:t>
      </w:r>
    </w:p>
    <w:p>
      <w:pPr>
        <w:spacing w:after="0" w:line="125" w:lineRule="exact"/>
        <w:rPr>
          <w:rFonts w:ascii="Times New Roman" w:cs="Times New Roman" w:eastAsia="Times New Roman" w:hAnsi="Times New Roman"/>
          <w:sz w:val="22"/>
          <w:szCs w:val="22"/>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220" w:hanging="753"/>
        <w:spacing w:after="0"/>
        <w:tabs>
          <w:tab w:leader="none" w:pos="22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220" w:hanging="753"/>
        <w:spacing w:after="0"/>
        <w:tabs>
          <w:tab w:leader="none" w:pos="22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220" w:hanging="753"/>
        <w:spacing w:after="0"/>
        <w:tabs>
          <w:tab w:leader="none" w:pos="22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220" w:right="800" w:hanging="753"/>
        <w:spacing w:after="0" w:line="185" w:lineRule="auto"/>
        <w:tabs>
          <w:tab w:leader="none" w:pos="22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41,011,890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41,011,890</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420" w:space="260"/>
            <w:col w:w="434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right="100"/>
        <w:spacing w:after="0" w:line="236" w:lineRule="auto"/>
        <w:rPr>
          <w:sz w:val="20"/>
          <w:szCs w:val="20"/>
          <w:color w:val="auto"/>
        </w:rPr>
      </w:pPr>
      <w:r>
        <w:rPr>
          <w:rFonts w:ascii="Times New Roman" w:cs="Times New Roman" w:eastAsia="Times New Roman" w:hAnsi="Times New Roman"/>
          <w:sz w:val="22"/>
          <w:szCs w:val="22"/>
          <w:color w:val="auto"/>
        </w:rPr>
        <w:t>Invesco Asset Management Limited is a subsidiary of Invesco Ltd. and it advises the Invesco UK Equity High Income Fund (UK) which owns 11.78% of the security reported herein. Invesco Asset Management Limited is a subsidiary of Invesco Ltd. and it advises the Invesco UK Equity Income Fund (UK) which owns 5.36%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96"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-13970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November 07, 2024</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Head of Compliance</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2024-11-07T08:53:53Z</dcterms:created>
  <dcterms:modified xsi:type="dcterms:W3CDTF">2024-11-07T08:53:53Z</dcterms:modified>
</cp:coreProperties>
</file>