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85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1045845</wp:posOffset>
            </wp:positionV>
            <wp:extent cx="6724015" cy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01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192405</wp:posOffset>
            </wp:positionV>
            <wp:extent cx="6724015" cy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01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202565</wp:posOffset>
            </wp:positionV>
            <wp:extent cx="6724015" cy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01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Report of Foreign Private Issuer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Pursuant to Rule 13a-16 or 15d-16 under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the Securities Exchange Act of 1934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For the month of June 2022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Commission File Number 001-39670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344805</wp:posOffset>
            </wp:positionV>
            <wp:extent cx="6724015" cy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01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b w:val="1"/>
          <w:bCs w:val="1"/>
          <w:color w:val="auto"/>
        </w:rPr>
        <w:t>PURETECH HEALTH PLC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160655</wp:posOffset>
            </wp:positionV>
            <wp:extent cx="6724015" cy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01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6 Tide Street, Suite 400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Boston, Massachusetts 02210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182880</wp:posOffset>
            </wp:positionV>
            <wp:extent cx="6724015" cy="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01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ind w:left="4640"/>
        <w:spacing w:after="0" w:line="138" w:lineRule="exact"/>
        <w:tabs>
          <w:tab w:leader="none" w:pos="5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Arial" w:cs="Arial" w:eastAsia="Arial" w:hAnsi="Arial"/>
          <w:sz w:val="14"/>
          <w:szCs w:val="14"/>
          <w:color w:val="auto"/>
        </w:rPr>
        <w:t>o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Arial" w:cs="Arial" w:eastAsia="Arial" w:hAnsi="Arial"/>
          <w:sz w:val="14"/>
          <w:szCs w:val="14"/>
          <w:color w:val="auto"/>
        </w:rPr>
        <w:t>o</w:t>
      </w:r>
    </w:p>
    <w:p>
      <w:pPr>
        <w:sectPr>
          <w:pgSz w:w="11900" w:h="16838" w:orient="portrait"/>
          <w:cols w:equalWidth="0" w:num="1">
            <w:col w:w="10159"/>
          </w:cols>
          <w:pgMar w:left="300" w:top="1440" w:right="1440" w:bottom="1440" w:gutter="0" w:footer="0" w:header="0"/>
        </w:sectPr>
      </w:pPr>
    </w:p>
    <w:bookmarkStart w:id="1" w:name="page2"/>
    <w:bookmarkEnd w:id="1"/>
    <w:p>
      <w:pPr>
        <w:ind w:left="3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INFORMATION CONTAINED IN THIS REPORT ON FORM 6-K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On August 25, 2022, PureTech Health plc (LSE: PRTC, Nasdaq: PRTC) (the “Company”) issued a press release containing its half-year report and associated financial statements.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The press release is furnished herewith as Exhibit 99.1 and is incorporated by reference herein.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183964"/>
        </w:rPr>
        <w:t>Exhibits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20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u w:val="single" w:color="auto"/>
          <w:color w:val="0000FF"/>
          <w:vertAlign w:val="subscript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Press Release of PureTech Health plc, dated August 25, 2022, titled "PureTech Health plc – Half-Year Report"</w:t>
      </w:r>
    </w:p>
    <w:p>
      <w:pPr>
        <w:sectPr>
          <w:pgSz w:w="11900" w:h="16838" w:orient="portrait"/>
          <w:cols w:equalWidth="0" w:num="1">
            <w:col w:w="10159"/>
          </w:cols>
          <w:pgMar w:left="300" w:top="1122" w:right="1440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183964"/>
        </w:rPr>
        <w:t>SIGNATURES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940" w:type="dxa"/>
            <w:vAlign w:val="bottom"/>
            <w:gridSpan w:val="2"/>
          </w:tcPr>
          <w:p>
            <w:pPr>
              <w:ind w:left="1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183964"/>
              </w:rPr>
              <w:t>PURETECH HEALTH PLC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Date: August 24, 2022</w:t>
            </w:r>
          </w:p>
        </w:tc>
        <w:tc>
          <w:tcPr>
            <w:tcW w:w="2520" w:type="dxa"/>
            <w:vAlign w:val="bottom"/>
          </w:tcPr>
          <w:p>
            <w:pPr>
              <w:ind w:left="1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By:</w:t>
            </w:r>
          </w:p>
        </w:tc>
        <w:tc>
          <w:tcPr>
            <w:tcW w:w="4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/s/ Daphne Zohar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1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Name:</w:t>
            </w:r>
          </w:p>
        </w:tc>
        <w:tc>
          <w:tcPr>
            <w:tcW w:w="4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Daphne Zohar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1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Title:</w:t>
            </w:r>
          </w:p>
        </w:tc>
        <w:tc>
          <w:tcPr>
            <w:tcW w:w="4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59"/>
          </w:cols>
          <w:pgMar w:left="300" w:top="1005" w:right="1440" w:bottom="144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338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9740265</wp:posOffset>
            </wp:positionV>
            <wp:extent cx="7105650" cy="1968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1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2022-08-25T05:26:17Z</dcterms:created>
  <dcterms:modified xsi:type="dcterms:W3CDTF">2022-08-25T05:26:17Z</dcterms:modified>
</cp:coreProperties>
</file>