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Resignation of Director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7, 2025, Raju Kucherlapati, Ph.D. resigned from his position as Chair of the board of directors of PureTech Health plc (the “Company”). Dr. Kucherlapati also served on the Research and Development Committee of the Company’s board of directors. Following Dr. Kucherlapati’s resignation, the Company’s board of directors will consist of six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8, 2025, Sharon Barber-Lui, a non-executive director, was appointed interim Chair of the board of directors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8, 2025, the Company issued a press release announcing Dr. Kucherlapati’s resignation and Ms. Barber-Lui’s appointment as interim Chair of the Board of Directors. The press release is furnished herewith as Exhibit 99.1 and is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3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July 8, 2025, titled “PureTech Announces Board Change.”</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PURETECH HEALTH PLC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8, 2025</w:t>
            </w:r>
          </w:p>
        </w:tc>
        <w:tc>
          <w:tcPr>
            <w:tcW w:w="26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Bharatt Chowrira</w:t>
            </w:r>
          </w:p>
        </w:tc>
      </w:tr>
      <w:tr>
        <w:trPr>
          <w:trHeight w:val="191"/>
        </w:trPr>
        <w:tc>
          <w:tcPr>
            <w:tcW w:w="3420" w:type="dxa"/>
            <w:vAlign w:val="bottom"/>
          </w:tcPr>
          <w:p>
            <w:pPr>
              <w:spacing w:after="0"/>
              <w:rPr>
                <w:sz w:val="16"/>
                <w:szCs w:val="16"/>
                <w:color w:val="auto"/>
              </w:rPr>
            </w:pPr>
          </w:p>
        </w:tc>
        <w:tc>
          <w:tcPr>
            <w:tcW w:w="264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Bharatt Chowrira</w:t>
            </w:r>
          </w:p>
        </w:tc>
      </w:tr>
      <w:tr>
        <w:trPr>
          <w:trHeight w:val="234"/>
        </w:trPr>
        <w:tc>
          <w:tcPr>
            <w:tcW w:w="3420" w:type="dxa"/>
            <w:vAlign w:val="bottom"/>
          </w:tcPr>
          <w:p>
            <w:pPr>
              <w:spacing w:after="0"/>
              <w:rPr>
                <w:sz w:val="20"/>
                <w:szCs w:val="20"/>
                <w:color w:val="auto"/>
              </w:rPr>
            </w:pPr>
          </w:p>
        </w:tc>
        <w:tc>
          <w:tcPr>
            <w:tcW w:w="26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596/2014) AS IT FORMS PART OF UK LAW BY VIRTUE OF THE EUROPEAN UNION (WITHDRAWAL) ACT 2018,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July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Announces Board Change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announces that Raju Kucherlapati, PhD, has stepped down from his role as a member and Chair of the Board of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“Raju has been an integral part of PureTech’s journey for almost two decades, and we are deeply grateful for his dedication and leadership,” said Bharatt Chowrira, PhD, JD, PureTech’s Chief Executive Officer. “On behalf of the board, I’d like to wish Raju all the best in his future endeavors.”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PureTech has appointed Sharon Barber-Lui, PureTech’s Audit Committee Chair, as Interim Chair of the Board of Directors. In collaboration with the Nominating Committee, Ms. Barber-Lui will lead the process to identify a new Chair of the Board of Directors and will engage with shareholders to gather input on the criteria and overall board evolution as part of the process.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Robert Langer, ScD, PureTech’s Co-founder and member of the board said, “Raju is a unique individual, an amazing scientist, and a great friend and mentor to so many people in the biotech industry. It has been an honor and a privilege to serve alongside Raju for so many years at PureTech. I speak for the entire board in thanking him for his many years of dedication and his outstanding contributions.”</w:t>
      </w:r>
    </w:p>
    <w:p>
      <w:pPr>
        <w:spacing w:after="0" w:line="176"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During his tenure on the board, Dr. Kucherlapati helped guide PureTech from its startup phase into an established biotherapeutics company, which has an industry-leading track record of advancing breakthrough medicines, such as the recently FDA-approved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launching innovative Founded Entities, most recently, Seaport Therapeutics.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portfolio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three that have been approved by the U.S. Food and Drug Administration. A number of these programs are being advanced by PureTech or its Founded Entities in various indications and stages of clinical development, including registration-enabling studies. All of the underlying programs and platforms that resulted in this portfolio of therapeutic candidates were initially identified or discovered and then advanced by the PureTech team through key validation points.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intention to initiate a process to identify a new Chair of the Board of Directors,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2024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IR@puretechhealth.com</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2025-07-08T15:23:59Z</dcterms:created>
  <dcterms:modified xsi:type="dcterms:W3CDTF">2025-07-08T15:23:59Z</dcterms:modified>
</cp:coreProperties>
</file>