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During the month ended August 31, 2023, the Company had the following daily purchases of its own Ordinary Shares under the Program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Ordinary Shares</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Volume Weighted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16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Highest Price Paid</w:t>
            </w: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Lowest Price Paid</w:t>
            </w:r>
          </w:p>
        </w:tc>
        <w:tc>
          <w:tcPr>
            <w:tcW w:w="0" w:type="dxa"/>
            <w:vAlign w:val="bottom"/>
          </w:tcPr>
          <w:p>
            <w:pPr>
              <w:spacing w:after="0"/>
              <w:rPr>
                <w:sz w:val="1"/>
                <w:szCs w:val="1"/>
                <w:color w:val="auto"/>
              </w:rPr>
            </w:pPr>
          </w:p>
        </w:tc>
      </w:tr>
      <w:tr>
        <w:trPr>
          <w:trHeight w:val="191"/>
        </w:trPr>
        <w:tc>
          <w:tcPr>
            <w:tcW w:w="300" w:type="dxa"/>
            <w:vAlign w:val="bottom"/>
            <w:tcBorders>
              <w:bottom w:val="single" w:sz="8" w:color="auto"/>
            </w:tcBorders>
            <w:vMerge w:val="continue"/>
          </w:tcPr>
          <w:p>
            <w:pPr>
              <w:spacing w:after="0"/>
              <w:rPr>
                <w:sz w:val="16"/>
                <w:szCs w:val="16"/>
                <w:color w:val="auto"/>
              </w:rPr>
            </w:pPr>
          </w:p>
        </w:tc>
        <w:tc>
          <w:tcPr>
            <w:tcW w:w="4160" w:type="dxa"/>
            <w:vAlign w:val="bottom"/>
            <w:vMerge w:val="continue"/>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Repurchased</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 Ordinary Share</w:t>
            </w:r>
          </w:p>
        </w:tc>
        <w:tc>
          <w:tcPr>
            <w:tcW w:w="15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August 1, 2023</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36,328</w:t>
            </w: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w w:val="86"/>
              </w:rPr>
              <w:t>223.77p</w:t>
            </w: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w w:val="86"/>
              </w:rPr>
              <w:t>226.00p</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86"/>
              </w:rPr>
              <w:t>221.50p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2,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36,705</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215.97p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220.00p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212.00p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36,450</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212.34p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216.00p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208.00p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4,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38,496</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208.41p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213.50p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205.50p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7,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38,879</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205.71p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210.50p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202.00p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8,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36,252</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204.26p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206.50p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202.00p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9,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38,139</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205.35p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208.00p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203.00p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10,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38,729</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205.66p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208.00p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204.00p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11,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36,425</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202.42p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205.50p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200.00p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14,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34,241</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198.75p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202.00p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196.40p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15,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34,400</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196.51p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198.00p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194.00p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16,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35,616</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198.88p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200.00p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196.20p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17,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33,370</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194.66p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196.40p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193.00p</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August 18, 2023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32,487</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rPr>
              <w:t>188.42p</w:t>
            </w: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193.20p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183.20p</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21, 2023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33,425</w:t>
            </w: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184.31p</w:t>
            </w: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187.20p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181.80p</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August 22, 2023</w:t>
            </w:r>
          </w:p>
        </w:tc>
        <w:tc>
          <w:tcPr>
            <w:tcW w:w="2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32,721</w:t>
            </w:r>
          </w:p>
        </w:tc>
        <w:tc>
          <w:tcPr>
            <w:tcW w:w="1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183.65p</w:t>
            </w:r>
          </w:p>
        </w:tc>
        <w:tc>
          <w:tcPr>
            <w:tcW w:w="1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184.40p</w:t>
            </w: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182.60p</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August 23, 2023</w:t>
            </w:r>
          </w:p>
        </w:tc>
        <w:tc>
          <w:tcPr>
            <w:tcW w:w="2960" w:type="dxa"/>
            <w:vAlign w:val="bottom"/>
          </w:tcPr>
          <w:p>
            <w:pPr>
              <w:jc w:val="right"/>
              <w:ind w:right="430"/>
              <w:spacing w:after="0"/>
              <w:rPr>
                <w:sz w:val="20"/>
                <w:szCs w:val="20"/>
                <w:color w:val="auto"/>
              </w:rPr>
            </w:pPr>
            <w:r>
              <w:rPr>
                <w:rFonts w:ascii="Arial" w:cs="Arial" w:eastAsia="Arial" w:hAnsi="Arial"/>
                <w:sz w:val="18"/>
                <w:szCs w:val="18"/>
                <w:color w:val="auto"/>
              </w:rPr>
              <w:t>32,441</w:t>
            </w:r>
          </w:p>
        </w:tc>
        <w:tc>
          <w:tcPr>
            <w:tcW w:w="1560" w:type="dxa"/>
            <w:vAlign w:val="bottom"/>
          </w:tcPr>
          <w:p>
            <w:pPr>
              <w:ind w:left="520"/>
              <w:spacing w:after="0"/>
              <w:rPr>
                <w:sz w:val="20"/>
                <w:szCs w:val="20"/>
                <w:color w:val="auto"/>
              </w:rPr>
            </w:pPr>
            <w:r>
              <w:rPr>
                <w:rFonts w:ascii="Arial" w:cs="Arial" w:eastAsia="Arial" w:hAnsi="Arial"/>
                <w:sz w:val="18"/>
                <w:szCs w:val="18"/>
                <w:color w:val="auto"/>
              </w:rPr>
              <w:t>186.66p</w:t>
            </w:r>
          </w:p>
        </w:tc>
        <w:tc>
          <w:tcPr>
            <w:tcW w:w="1460" w:type="dxa"/>
            <w:vAlign w:val="bottom"/>
          </w:tcPr>
          <w:p>
            <w:pPr>
              <w:ind w:left="460"/>
              <w:spacing w:after="0"/>
              <w:rPr>
                <w:sz w:val="20"/>
                <w:szCs w:val="20"/>
                <w:color w:val="auto"/>
              </w:rPr>
            </w:pPr>
            <w:r>
              <w:rPr>
                <w:rFonts w:ascii="Arial" w:cs="Arial" w:eastAsia="Arial" w:hAnsi="Arial"/>
                <w:sz w:val="18"/>
                <w:szCs w:val="18"/>
                <w:color w:val="auto"/>
              </w:rPr>
              <w:t>189.00p</w:t>
            </w:r>
          </w:p>
        </w:tc>
        <w:tc>
          <w:tcPr>
            <w:tcW w:w="1000" w:type="dxa"/>
            <w:vAlign w:val="bottom"/>
          </w:tcPr>
          <w:p>
            <w:pPr>
              <w:ind w:left="420"/>
              <w:spacing w:after="0"/>
              <w:rPr>
                <w:sz w:val="20"/>
                <w:szCs w:val="20"/>
                <w:color w:val="auto"/>
              </w:rPr>
            </w:pPr>
            <w:r>
              <w:rPr>
                <w:rFonts w:ascii="Arial" w:cs="Arial" w:eastAsia="Arial" w:hAnsi="Arial"/>
                <w:sz w:val="18"/>
                <w:szCs w:val="18"/>
                <w:color w:val="auto"/>
                <w:w w:val="86"/>
              </w:rPr>
              <w:t>184.80p</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August 24, 2023</w:t>
            </w:r>
          </w:p>
        </w:tc>
        <w:tc>
          <w:tcPr>
            <w:tcW w:w="2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32,058</w:t>
            </w:r>
          </w:p>
        </w:tc>
        <w:tc>
          <w:tcPr>
            <w:tcW w:w="1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189.25p</w:t>
            </w:r>
          </w:p>
        </w:tc>
        <w:tc>
          <w:tcPr>
            <w:tcW w:w="1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192.00p</w:t>
            </w: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187.60p</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August 25, 2023</w:t>
            </w:r>
          </w:p>
        </w:tc>
        <w:tc>
          <w:tcPr>
            <w:tcW w:w="2960" w:type="dxa"/>
            <w:vAlign w:val="bottom"/>
          </w:tcPr>
          <w:p>
            <w:pPr>
              <w:jc w:val="right"/>
              <w:ind w:right="430"/>
              <w:spacing w:after="0"/>
              <w:rPr>
                <w:sz w:val="20"/>
                <w:szCs w:val="20"/>
                <w:color w:val="auto"/>
              </w:rPr>
            </w:pPr>
            <w:r>
              <w:rPr>
                <w:rFonts w:ascii="Arial" w:cs="Arial" w:eastAsia="Arial" w:hAnsi="Arial"/>
                <w:sz w:val="18"/>
                <w:szCs w:val="18"/>
                <w:color w:val="auto"/>
              </w:rPr>
              <w:t>32,187</w:t>
            </w:r>
          </w:p>
        </w:tc>
        <w:tc>
          <w:tcPr>
            <w:tcW w:w="1560" w:type="dxa"/>
            <w:vAlign w:val="bottom"/>
          </w:tcPr>
          <w:p>
            <w:pPr>
              <w:ind w:left="520"/>
              <w:spacing w:after="0"/>
              <w:rPr>
                <w:sz w:val="20"/>
                <w:szCs w:val="20"/>
                <w:color w:val="auto"/>
              </w:rPr>
            </w:pPr>
            <w:r>
              <w:rPr>
                <w:rFonts w:ascii="Arial" w:cs="Arial" w:eastAsia="Arial" w:hAnsi="Arial"/>
                <w:sz w:val="18"/>
                <w:szCs w:val="18"/>
                <w:color w:val="auto"/>
              </w:rPr>
              <w:t>188.02p</w:t>
            </w:r>
          </w:p>
        </w:tc>
        <w:tc>
          <w:tcPr>
            <w:tcW w:w="1460" w:type="dxa"/>
            <w:vAlign w:val="bottom"/>
          </w:tcPr>
          <w:p>
            <w:pPr>
              <w:ind w:left="460"/>
              <w:spacing w:after="0"/>
              <w:rPr>
                <w:sz w:val="20"/>
                <w:szCs w:val="20"/>
                <w:color w:val="auto"/>
              </w:rPr>
            </w:pPr>
            <w:r>
              <w:rPr>
                <w:rFonts w:ascii="Arial" w:cs="Arial" w:eastAsia="Arial" w:hAnsi="Arial"/>
                <w:sz w:val="18"/>
                <w:szCs w:val="18"/>
                <w:color w:val="auto"/>
              </w:rPr>
              <w:t>189.20p</w:t>
            </w:r>
          </w:p>
        </w:tc>
        <w:tc>
          <w:tcPr>
            <w:tcW w:w="1000" w:type="dxa"/>
            <w:vAlign w:val="bottom"/>
          </w:tcPr>
          <w:p>
            <w:pPr>
              <w:ind w:left="420"/>
              <w:spacing w:after="0"/>
              <w:rPr>
                <w:sz w:val="20"/>
                <w:szCs w:val="20"/>
                <w:color w:val="auto"/>
              </w:rPr>
            </w:pPr>
            <w:r>
              <w:rPr>
                <w:rFonts w:ascii="Arial" w:cs="Arial" w:eastAsia="Arial" w:hAnsi="Arial"/>
                <w:sz w:val="18"/>
                <w:szCs w:val="18"/>
                <w:color w:val="auto"/>
                <w:w w:val="86"/>
              </w:rPr>
              <w:t>184.60p</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August 29, 2023</w:t>
            </w:r>
          </w:p>
        </w:tc>
        <w:tc>
          <w:tcPr>
            <w:tcW w:w="2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31,857</w:t>
            </w:r>
          </w:p>
        </w:tc>
        <w:tc>
          <w:tcPr>
            <w:tcW w:w="1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191.53p</w:t>
            </w:r>
          </w:p>
        </w:tc>
        <w:tc>
          <w:tcPr>
            <w:tcW w:w="1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194.40p</w:t>
            </w: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188.40p</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August 30, 2023</w:t>
            </w:r>
          </w:p>
        </w:tc>
        <w:tc>
          <w:tcPr>
            <w:tcW w:w="2960" w:type="dxa"/>
            <w:vAlign w:val="bottom"/>
          </w:tcPr>
          <w:p>
            <w:pPr>
              <w:jc w:val="right"/>
              <w:ind w:right="430"/>
              <w:spacing w:after="0"/>
              <w:rPr>
                <w:sz w:val="20"/>
                <w:szCs w:val="20"/>
                <w:color w:val="auto"/>
              </w:rPr>
            </w:pPr>
            <w:r>
              <w:rPr>
                <w:rFonts w:ascii="Arial" w:cs="Arial" w:eastAsia="Arial" w:hAnsi="Arial"/>
                <w:sz w:val="18"/>
                <w:szCs w:val="18"/>
                <w:color w:val="auto"/>
              </w:rPr>
              <w:t>33,759</w:t>
            </w:r>
          </w:p>
        </w:tc>
        <w:tc>
          <w:tcPr>
            <w:tcW w:w="1560" w:type="dxa"/>
            <w:vAlign w:val="bottom"/>
          </w:tcPr>
          <w:p>
            <w:pPr>
              <w:ind w:left="520"/>
              <w:spacing w:after="0"/>
              <w:rPr>
                <w:sz w:val="20"/>
                <w:szCs w:val="20"/>
                <w:color w:val="auto"/>
              </w:rPr>
            </w:pPr>
            <w:r>
              <w:rPr>
                <w:rFonts w:ascii="Arial" w:cs="Arial" w:eastAsia="Arial" w:hAnsi="Arial"/>
                <w:sz w:val="18"/>
                <w:szCs w:val="18"/>
                <w:color w:val="auto"/>
              </w:rPr>
              <w:t>195.99p</w:t>
            </w:r>
          </w:p>
        </w:tc>
        <w:tc>
          <w:tcPr>
            <w:tcW w:w="1460" w:type="dxa"/>
            <w:vAlign w:val="bottom"/>
          </w:tcPr>
          <w:p>
            <w:pPr>
              <w:ind w:left="460"/>
              <w:spacing w:after="0"/>
              <w:rPr>
                <w:sz w:val="20"/>
                <w:szCs w:val="20"/>
                <w:color w:val="auto"/>
              </w:rPr>
            </w:pPr>
            <w:r>
              <w:rPr>
                <w:rFonts w:ascii="Arial" w:cs="Arial" w:eastAsia="Arial" w:hAnsi="Arial"/>
                <w:sz w:val="18"/>
                <w:szCs w:val="18"/>
                <w:color w:val="auto"/>
              </w:rPr>
              <w:t>196.40p</w:t>
            </w:r>
          </w:p>
        </w:tc>
        <w:tc>
          <w:tcPr>
            <w:tcW w:w="1000" w:type="dxa"/>
            <w:vAlign w:val="bottom"/>
          </w:tcPr>
          <w:p>
            <w:pPr>
              <w:ind w:left="420"/>
              <w:spacing w:after="0"/>
              <w:rPr>
                <w:sz w:val="20"/>
                <w:szCs w:val="20"/>
                <w:color w:val="auto"/>
              </w:rPr>
            </w:pPr>
            <w:r>
              <w:rPr>
                <w:rFonts w:ascii="Arial" w:cs="Arial" w:eastAsia="Arial" w:hAnsi="Arial"/>
                <w:sz w:val="18"/>
                <w:szCs w:val="18"/>
                <w:color w:val="auto"/>
                <w:w w:val="86"/>
              </w:rPr>
              <w:t>194.80p</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August 31, 2023</w:t>
            </w:r>
          </w:p>
        </w:tc>
        <w:tc>
          <w:tcPr>
            <w:tcW w:w="2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35,198</w:t>
            </w:r>
          </w:p>
        </w:tc>
        <w:tc>
          <w:tcPr>
            <w:tcW w:w="1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196.61p</w:t>
            </w:r>
          </w:p>
        </w:tc>
        <w:tc>
          <w:tcPr>
            <w:tcW w:w="1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198.60p</w:t>
            </w: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194.40p</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month ended August 31, 2023, the Company repurchased an aggregate of 770,163 Ordinary Shares. As of August 31, 2023, the Company’s issued share capital was 289,468,159 shares, 14,158,321 of which were held in treasury, resulting in total voting rights in the Company of 275,309,838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August 1, 2023: https://data.fca.org.uk/artefacts/NSM/RNS/4855102.html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2023: https://data.fca.org.uk/artefacts/NSM/RNS/4856592.html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2023: https://data.fca.org.uk/artefacts/NSM/RNS/4858205.html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4, 2023: https://data.fca.org.uk/artefacts/NSM/RNS/4859562.html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2023: https://data.fca.org.uk/artefacts/NSM/RNS/4861022.html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2023: https://data.fca.org.uk/artefacts/NSM/RNS/4862449.html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2023: https://data.fca.org.uk/artefacts/NSM/RNS/4863840.html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2023: https://data.fca.org.uk/artefacts/NSM/RNS/4865358.html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11, 2023: https://data.fca.org.uk/artefacts/NSM/RNS/4866721.html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2023: https://data.fca.org.uk/artefacts/NSM/RNS/4868159.html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2023: https://data.fca.org.uk/artefacts/NSM/RNS/4869540.html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16, 2023: https://data.fca.org.uk/artefacts/NSM/RNS/4870908.html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17, 2023: https://data.fca.org.uk/artefacts/NSM/RNS/4872386.html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18, 2023: https://data.fca.org.uk/artefacts/NSM/RNS/4873704.html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2023: https://data.fca.org.uk/artefacts/NSM/RNS/4875227.html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22, 2023: https://data.fca.org.uk/artefacts/NSM/RNS/4876653.html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23, 2023: https://data.fca.org.uk/artefacts/NSM/RNS/4877913.html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24, 2023: https://data.fca.org.uk/artefacts/NSM/RNS/4879331.html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25, 2023: https://data.fca.org.uk/artefacts/NSM/RNS/4880597.html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29, 2023: https://data.fca.org.uk/artefacts/NSM/RNS/4882508.html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30, 2023: https://data.fca.org.uk/artefacts/NSM/RNS/4883970.html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 2023: https://data.fca.org.uk/artefacts/NSM/RNS/4885624.html</w:t>
      </w:r>
    </w:p>
    <w:p>
      <w:pPr>
        <w:sectPr>
          <w:pgSz w:w="11900" w:h="16838" w:orient="portrait"/>
          <w:cols w:equalWidth="0" w:num="1">
            <w:col w:w="10840"/>
          </w:cols>
          <w:pgMar w:left="440" w:top="288" w:right="61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PURETECH HEALTH PLC</w:t>
      </w:r>
    </w:p>
    <w:p>
      <w:pPr>
        <w:spacing w:after="0" w:line="225"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 September 6, 2023</w:t>
      </w:r>
      <w:r>
        <w:rPr>
          <w:sz w:val="20"/>
          <w:szCs w:val="20"/>
          <w:color w:val="auto"/>
        </w:rPr>
        <w:tab/>
      </w:r>
      <w:r>
        <w:rPr>
          <w:rFonts w:ascii="Arial" w:cs="Arial" w:eastAsia="Arial" w:hAnsi="Arial"/>
          <w:sz w:val="16"/>
          <w:szCs w:val="16"/>
          <w:color w:val="auto"/>
        </w:rPr>
        <w:t>By:  /s/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14605</wp:posOffset>
            </wp:positionV>
            <wp:extent cx="3600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2023-09-06T15:37:59Z</dcterms:created>
  <dcterms:modified xsi:type="dcterms:W3CDTF">2023-09-06T15:37:59Z</dcterms:modified>
</cp:coreProperties>
</file>