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01" w:lineRule="exact"/>
        <w:rPr>
          <w:sz w:val="24"/>
          <w:szCs w:val="24"/>
          <w:color w:val="auto"/>
        </w:rPr>
      </w:pPr>
    </w:p>
    <w:p>
      <w:pPr>
        <w:ind w:left="4604"/>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166" w:lineRule="exact"/>
        <w:rPr>
          <w:sz w:val="24"/>
          <w:szCs w:val="24"/>
          <w:color w:val="auto"/>
        </w:rPr>
      </w:pPr>
    </w:p>
    <w:p>
      <w:pPr>
        <w:ind w:left="2824"/>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ind w:left="374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0"/>
          <w:szCs w:val="40"/>
          <w:b w:val="1"/>
          <w:bCs w:val="1"/>
          <w:color w:val="auto"/>
        </w:rPr>
        <w:t>PURETECH HEALTH PLC</w:t>
      </w:r>
    </w:p>
    <w:p>
      <w:pPr>
        <w:spacing w:after="0" w:line="4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Subject Company (Issuer) and Name of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Ordinary Shares, par value £0.01 per share</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10 ordinary shares, par value £0.01 per share</w:t>
      </w:r>
    </w:p>
    <w:p>
      <w:pPr>
        <w:spacing w:after="0" w:line="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6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746237106</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4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Bharatt Chowrira</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482-2333</w:t>
      </w:r>
    </w:p>
    <w:p>
      <w:pPr>
        <w:spacing w:after="0" w:line="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the Filing Person)</w:t>
      </w:r>
    </w:p>
    <w:p>
      <w:pPr>
        <w:spacing w:after="0" w:line="14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Peter N. Handrinos</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Elisabeth M. Martin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200 Clarendon Street</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948-600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198"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ind w:left="1424"/>
        <w:spacing w:after="0" w:line="207" w:lineRule="exact"/>
        <w:tabs>
          <w:tab w:leader="none" w:pos="194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third-party tender offer subject to Rule 14d-1.</w:t>
      </w:r>
    </w:p>
    <w:p>
      <w:pPr>
        <w:spacing w:after="0" w:line="70" w:lineRule="exact"/>
        <w:rPr>
          <w:sz w:val="24"/>
          <w:szCs w:val="24"/>
          <w:color w:val="auto"/>
        </w:rPr>
      </w:pPr>
    </w:p>
    <w:p>
      <w:pPr>
        <w:ind w:left="1424"/>
        <w:spacing w:after="0" w:line="207" w:lineRule="exact"/>
        <w:tabs>
          <w:tab w:leader="none" w:pos="194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issuer tender offer subject to Rule 13e-4.</w:t>
      </w:r>
    </w:p>
    <w:p>
      <w:pPr>
        <w:spacing w:after="0" w:line="2" w:lineRule="exact"/>
        <w:rPr>
          <w:sz w:val="24"/>
          <w:szCs w:val="24"/>
          <w:color w:val="auto"/>
        </w:rPr>
      </w:pPr>
    </w:p>
    <w:p>
      <w:pPr>
        <w:ind w:left="1424"/>
        <w:spacing w:after="0" w:line="207" w:lineRule="exact"/>
        <w:tabs>
          <w:tab w:leader="none" w:pos="194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going-private transaction subject to Rule 13e-3.</w:t>
      </w:r>
    </w:p>
    <w:p>
      <w:pPr>
        <w:spacing w:after="0" w:line="16" w:lineRule="exact"/>
        <w:rPr>
          <w:sz w:val="24"/>
          <w:szCs w:val="24"/>
          <w:color w:val="auto"/>
        </w:rPr>
      </w:pPr>
    </w:p>
    <w:p>
      <w:pPr>
        <w:ind w:left="1424"/>
        <w:spacing w:after="0" w:line="207" w:lineRule="exact"/>
        <w:tabs>
          <w:tab w:leader="none" w:pos="194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amendment to Schedule 13D under Rule 13d-2.</w:t>
      </w:r>
    </w:p>
    <w:p>
      <w:pPr>
        <w:spacing w:after="0" w:line="124" w:lineRule="exact"/>
        <w:rPr>
          <w:sz w:val="24"/>
          <w:szCs w:val="24"/>
          <w:color w:val="auto"/>
        </w:rPr>
      </w:pPr>
    </w:p>
    <w:p>
      <w:pPr>
        <w:ind w:left="98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25"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90" w:lineRule="exact"/>
        <w:rPr>
          <w:sz w:val="24"/>
          <w:szCs w:val="24"/>
          <w:color w:val="auto"/>
        </w:rPr>
      </w:pPr>
    </w:p>
    <w:p>
      <w:pPr>
        <w:ind w:left="1424"/>
        <w:spacing w:after="0" w:line="207" w:lineRule="exact"/>
        <w:tabs>
          <w:tab w:leader="none" w:pos="194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13e-4(i) (Cross-Border Issuer Tender Offer).</w:t>
      </w:r>
    </w:p>
    <w:p>
      <w:pPr>
        <w:spacing w:after="0" w:line="63" w:lineRule="exact"/>
        <w:rPr>
          <w:sz w:val="24"/>
          <w:szCs w:val="24"/>
          <w:color w:val="auto"/>
        </w:rPr>
      </w:pPr>
    </w:p>
    <w:p>
      <w:pPr>
        <w:ind w:left="1424"/>
        <w:spacing w:after="0" w:line="207" w:lineRule="exact"/>
        <w:tabs>
          <w:tab w:leader="none" w:pos="194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206375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TO</w:t>
      </w:r>
    </w:p>
    <w:p>
      <w:pPr>
        <w:spacing w:after="0" w:line="22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This Amendment No. 3 amends and supplements the Tender Offer Statement on Schedule TO (the “Original Schedule TO”), originally filed with the Securities and Exchange Commission (the “SEC”) on May 20, 2024, by PureTech Health plc., a public limited company incorporated in England and Wales (“PureTech” or the “Company”) (“Amendment No. 3”, together with the Original Schedule TO, the “Schedule TO”). The Schedule TO relates to the return of capital to the holders of ordinary shares, par value £0.01 per share (the “Ordinary Shares”), and American Depositary Shares representing Ordinary Shares (the “ADSs”), of the Company of up to US$100 million, which is being implemented by way of a tender offer (the “Tender Offer”). The Tender Offer is being made upon the terms and subject to the conditions set forth in the Circular, dated May 20, 2024 (as it may be amended or supplemented from time to time, the “Circular”), a copy of which is attached hereto as exhibit (a)(1)(i).</w:t>
      </w:r>
    </w:p>
    <w:p>
      <w:pPr>
        <w:spacing w:after="0" w:line="18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Circular and Items 1 through 9 and 11 of the Schedule TO, to the extent such Items incorporate by reference the information contained in the Circular, are hereby amended and supplemented as set forth below. You should read this Amendment No. 3 together with the Schedule TO and the Circular.</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No. 3, the information set forth in the Schedule TO and the Circular remain unchanged. All capitalized terms used but not specifically defined in this Schedule TO shall have the meanings given to such terms in the Circular.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11. Additional Information” of the Schedule TO is hereby amended and supplemented by adding the following:</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June 24, 2024, the Company issued a press release announcing the final results of the Tender Offer, which expired at 5:00 p.m., New York City time on June 18, 2024 with respect to ADSs and 1:00 p.m., London time on June 20, 2024 with respect to Ordinary Shares. A copy of the press release is filed as Exhibit (a)(5)(vi) to the Schedule TO and is incorporated herein by reference.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24, 2024, the Company issued a press release announcing the completion and total voting rights following the Tender Offer. A copy of the press release is filed as Exhibit (a)(5)(vii) to the Schedule TO and is incorporated herein by reference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12.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12. Exhibits” of the Schedule TO is hereby amended and restated as follows: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exhibits are included or incorporated by reference in this Schedule TO:</w:t>
      </w:r>
    </w:p>
    <w:p>
      <w:pPr>
        <w:spacing w:after="0" w:line="3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
        <w:spacing w:after="0"/>
        <w:tabs>
          <w:tab w:leader="none" w:pos="358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4316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31665" cy="17145"/>
                    </a:xfrm>
                    <a:prstGeom prst="rect">
                      <a:avLst/>
                    </a:prstGeom>
                    <a:noFill/>
                  </pic:spPr>
                </pic:pic>
              </a:graphicData>
            </a:graphic>
          </wp:anchor>
        </w:drawing>
      </w:r>
    </w:p>
    <w:p>
      <w:pPr>
        <w:spacing w:after="0" w:line="73" w:lineRule="exact"/>
        <w:rPr>
          <w:sz w:val="20"/>
          <w:szCs w:val="20"/>
          <w:color w:val="auto"/>
        </w:rPr>
      </w:pPr>
    </w:p>
    <w:p>
      <w:pPr>
        <w:ind w:left="4"/>
        <w:spacing w:after="0"/>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(a)(1)(i)</w:t>
      </w:r>
      <w:r>
        <w:rPr>
          <w:sz w:val="20"/>
          <w:szCs w:val="20"/>
          <w:color w:val="auto"/>
        </w:rPr>
        <w:tab/>
      </w:r>
      <w:hyperlink r:id="rId19">
        <w:r>
          <w:rPr>
            <w:rFonts w:ascii="Times New Roman" w:cs="Times New Roman" w:eastAsia="Times New Roman" w:hAnsi="Times New Roman"/>
            <w:sz w:val="18"/>
            <w:szCs w:val="18"/>
            <w:u w:val="single" w:color="auto"/>
            <w:color w:val="0000EE"/>
          </w:rPr>
          <w:t>Circular to Shareholders, dated May 20, 2024.*</w:t>
        </w:r>
      </w:hyperlink>
    </w:p>
    <w:p>
      <w:pPr>
        <w:spacing w:after="0" w:line="117" w:lineRule="exact"/>
        <w:rPr>
          <w:sz w:val="20"/>
          <w:szCs w:val="20"/>
          <w:color w:val="auto"/>
        </w:rPr>
      </w:pPr>
    </w:p>
    <w:p>
      <w:pPr>
        <w:ind w:left="4"/>
        <w:spacing w:after="0"/>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(a)(1)(ii)</w:t>
      </w:r>
      <w:r>
        <w:rPr>
          <w:sz w:val="20"/>
          <w:szCs w:val="20"/>
          <w:color w:val="auto"/>
        </w:rPr>
        <w:tab/>
      </w:r>
      <w:hyperlink r:id="rId20">
        <w:r>
          <w:rPr>
            <w:rFonts w:ascii="Times New Roman" w:cs="Times New Roman" w:eastAsia="Times New Roman" w:hAnsi="Times New Roman"/>
            <w:sz w:val="18"/>
            <w:szCs w:val="18"/>
            <w:u w:val="single" w:color="auto"/>
            <w:color w:val="0000EE"/>
          </w:rPr>
          <w:t>Tender Form. *</w:t>
        </w:r>
      </w:hyperlink>
    </w:p>
    <w:p>
      <w:pPr>
        <w:spacing w:after="0" w:line="117" w:lineRule="exact"/>
        <w:rPr>
          <w:sz w:val="20"/>
          <w:szCs w:val="20"/>
          <w:color w:val="auto"/>
        </w:rPr>
      </w:pPr>
    </w:p>
    <w:p>
      <w:pPr>
        <w:ind w:left="4"/>
        <w:spacing w:after="0"/>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(a)(1)(iii)</w:t>
      </w:r>
      <w:r>
        <w:rPr>
          <w:sz w:val="20"/>
          <w:szCs w:val="20"/>
          <w:color w:val="auto"/>
        </w:rPr>
        <w:tab/>
      </w:r>
      <w:hyperlink r:id="rId21">
        <w:r>
          <w:rPr>
            <w:rFonts w:ascii="Times New Roman" w:cs="Times New Roman" w:eastAsia="Times New Roman" w:hAnsi="Times New Roman"/>
            <w:sz w:val="18"/>
            <w:szCs w:val="18"/>
            <w:u w:val="single" w:color="auto"/>
            <w:color w:val="0000EE"/>
          </w:rPr>
          <w:t>Letter of Transmittal. *</w:t>
        </w:r>
      </w:hyperlink>
    </w:p>
    <w:p>
      <w:pPr>
        <w:spacing w:after="0" w:line="117" w:lineRule="exact"/>
        <w:rPr>
          <w:sz w:val="20"/>
          <w:szCs w:val="20"/>
          <w:color w:val="auto"/>
        </w:rPr>
      </w:pPr>
    </w:p>
    <w:p>
      <w:pPr>
        <w:ind w:left="4"/>
        <w:spacing w:after="0"/>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(a)(1)(iv)</w:t>
      </w:r>
      <w:r>
        <w:rPr>
          <w:sz w:val="20"/>
          <w:szCs w:val="20"/>
          <w:color w:val="auto"/>
        </w:rPr>
        <w:tab/>
      </w:r>
      <w:hyperlink r:id="rId22">
        <w:r>
          <w:rPr>
            <w:rFonts w:ascii="Times New Roman" w:cs="Times New Roman" w:eastAsia="Times New Roman" w:hAnsi="Times New Roman"/>
            <w:sz w:val="18"/>
            <w:szCs w:val="18"/>
            <w:u w:val="single" w:color="auto"/>
            <w:color w:val="0000EE"/>
          </w:rPr>
          <w:t>Letter to Brokers. *</w:t>
        </w:r>
      </w:hyperlink>
    </w:p>
    <w:p>
      <w:pPr>
        <w:spacing w:after="0" w:line="117" w:lineRule="exact"/>
        <w:rPr>
          <w:sz w:val="20"/>
          <w:szCs w:val="20"/>
          <w:color w:val="auto"/>
        </w:rPr>
      </w:pPr>
    </w:p>
    <w:p>
      <w:pPr>
        <w:ind w:left="4"/>
        <w:spacing w:after="0"/>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(a)(1)(v)</w:t>
      </w:r>
      <w:r>
        <w:rPr>
          <w:sz w:val="20"/>
          <w:szCs w:val="20"/>
          <w:color w:val="auto"/>
        </w:rPr>
        <w:tab/>
      </w:r>
      <w:hyperlink r:id="rId23">
        <w:r>
          <w:rPr>
            <w:rFonts w:ascii="Times New Roman" w:cs="Times New Roman" w:eastAsia="Times New Roman" w:hAnsi="Times New Roman"/>
            <w:sz w:val="18"/>
            <w:szCs w:val="18"/>
            <w:u w:val="single" w:color="auto"/>
            <w:color w:val="0000EE"/>
          </w:rPr>
          <w:t>Letter to Clients. *</w:t>
        </w:r>
      </w:hyperlink>
    </w:p>
    <w:p>
      <w:pPr>
        <w:spacing w:after="0" w:line="117"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b w:val="1"/>
          <w:bCs w:val="1"/>
          <w:color w:val="auto"/>
        </w:rPr>
        <w:t>(a)(2)</w:t>
      </w:r>
      <w:r>
        <w:rPr>
          <w:sz w:val="20"/>
          <w:szCs w:val="20"/>
          <w:color w:val="auto"/>
        </w:rPr>
        <w:tab/>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b w:val="1"/>
          <w:bCs w:val="1"/>
          <w:color w:val="auto"/>
        </w:rPr>
        <w:t>(a)(3)</w:t>
      </w:r>
      <w:r>
        <w:rPr>
          <w:sz w:val="20"/>
          <w:szCs w:val="20"/>
          <w:color w:val="auto"/>
        </w:rPr>
        <w:tab/>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b w:val="1"/>
          <w:bCs w:val="1"/>
          <w:color w:val="auto"/>
        </w:rPr>
        <w:t>(a)(4)</w:t>
      </w:r>
      <w:r>
        <w:rPr>
          <w:sz w:val="20"/>
          <w:szCs w:val="20"/>
          <w:color w:val="auto"/>
        </w:rPr>
        <w:tab/>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4"/>
        <w:spacing w:after="0"/>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(a)(5)(i)</w:t>
      </w:r>
      <w:r>
        <w:rPr>
          <w:sz w:val="20"/>
          <w:szCs w:val="20"/>
          <w:color w:val="auto"/>
        </w:rPr>
        <w:tab/>
      </w:r>
      <w:hyperlink r:id="rId24">
        <w:r>
          <w:rPr>
            <w:rFonts w:ascii="Times New Roman" w:cs="Times New Roman" w:eastAsia="Times New Roman" w:hAnsi="Times New Roman"/>
            <w:sz w:val="18"/>
            <w:szCs w:val="18"/>
            <w:u w:val="single" w:color="auto"/>
            <w:color w:val="0000EE"/>
          </w:rPr>
          <w:t>Press Release, dated March 19, 2024.</w:t>
        </w:r>
      </w:hyperlink>
    </w:p>
    <w:p>
      <w:pPr>
        <w:spacing w:after="0" w:line="117" w:lineRule="exact"/>
        <w:rPr>
          <w:sz w:val="20"/>
          <w:szCs w:val="20"/>
          <w:color w:val="auto"/>
        </w:rPr>
      </w:pPr>
    </w:p>
    <w:p>
      <w:pPr>
        <w:ind w:left="4"/>
        <w:spacing w:after="0"/>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(a)(5)(ii)</w:t>
      </w:r>
      <w:r>
        <w:rPr>
          <w:sz w:val="20"/>
          <w:szCs w:val="20"/>
          <w:color w:val="auto"/>
        </w:rPr>
        <w:tab/>
      </w:r>
      <w:hyperlink r:id="rId25">
        <w:r>
          <w:rPr>
            <w:rFonts w:ascii="Times New Roman" w:cs="Times New Roman" w:eastAsia="Times New Roman" w:hAnsi="Times New Roman"/>
            <w:sz w:val="18"/>
            <w:szCs w:val="18"/>
            <w:u w:val="single" w:color="auto"/>
            <w:color w:val="0000EE"/>
          </w:rPr>
          <w:t>Press Release, dated May 20, 2024. *</w:t>
        </w:r>
      </w:hyperlink>
    </w:p>
    <w:p>
      <w:pPr>
        <w:spacing w:after="0" w:line="117" w:lineRule="exact"/>
        <w:rPr>
          <w:sz w:val="20"/>
          <w:szCs w:val="20"/>
          <w:color w:val="auto"/>
        </w:rPr>
      </w:pPr>
    </w:p>
    <w:p>
      <w:pPr>
        <w:ind w:left="4" w:right="168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(a)(5)(iii) </w:t>
      </w:r>
      <w:hyperlink r:id="rId26">
        <w:r>
          <w:rPr>
            <w:rFonts w:ascii="Times New Roman" w:cs="Times New Roman" w:eastAsia="Times New Roman" w:hAnsi="Times New Roman"/>
            <w:sz w:val="18"/>
            <w:szCs w:val="18"/>
            <w:u w:val="single" w:color="auto"/>
            <w:color w:val="0000EE"/>
          </w:rPr>
          <w:t>Company Frequently Asked Questions for Shareholders. *</w:t>
        </w:r>
      </w:hyperlink>
      <w:r>
        <w:rPr>
          <w:rFonts w:ascii="Times New Roman" w:cs="Times New Roman" w:eastAsia="Times New Roman" w:hAnsi="Times New Roman"/>
          <w:sz w:val="18"/>
          <w:szCs w:val="18"/>
          <w:b w:val="1"/>
          <w:bCs w:val="1"/>
          <w:color w:val="auto"/>
        </w:rPr>
        <w:t xml:space="preserve"> (a)(5)(iv) </w:t>
      </w:r>
      <w:hyperlink r:id="rId27">
        <w:r>
          <w:rPr>
            <w:rFonts w:ascii="Times New Roman" w:cs="Times New Roman" w:eastAsia="Times New Roman" w:hAnsi="Times New Roman"/>
            <w:sz w:val="18"/>
            <w:szCs w:val="18"/>
            <w:u w:val="single" w:color="auto"/>
            <w:color w:val="0000EE"/>
          </w:rPr>
          <w:t>Press release, dated June 4, 2024. *</w:t>
        </w:r>
      </w:hyperlink>
      <w:r>
        <w:rPr>
          <w:rFonts w:ascii="Times New Roman" w:cs="Times New Roman" w:eastAsia="Times New Roman" w:hAnsi="Times New Roman"/>
          <w:sz w:val="18"/>
          <w:szCs w:val="18"/>
          <w:b w:val="1"/>
          <w:bCs w:val="1"/>
          <w:color w:val="auto"/>
        </w:rPr>
        <w:t xml:space="preserve"> (a)(5)(v) </w:t>
      </w:r>
      <w:hyperlink r:id="rId28">
        <w:r>
          <w:rPr>
            <w:rFonts w:ascii="Times New Roman" w:cs="Times New Roman" w:eastAsia="Times New Roman" w:hAnsi="Times New Roman"/>
            <w:sz w:val="18"/>
            <w:szCs w:val="18"/>
            <w:u w:val="single" w:color="auto"/>
            <w:color w:val="0000EE"/>
          </w:rPr>
          <w:t>Press release, dated June 6, 2024. *</w:t>
        </w:r>
      </w:hyperlink>
    </w:p>
    <w:p>
      <w:pPr>
        <w:spacing w:after="0" w:line="2" w:lineRule="exact"/>
        <w:rPr>
          <w:rFonts w:ascii="Times New Roman" w:cs="Times New Roman" w:eastAsia="Times New Roman" w:hAnsi="Times New Roman"/>
          <w:sz w:val="18"/>
          <w:szCs w:val="18"/>
          <w:b w:val="1"/>
          <w:bCs w:val="1"/>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b w:val="1"/>
          <w:bCs w:val="1"/>
          <w:color w:val="auto"/>
        </w:rPr>
        <w:t>(a)(5)(vi)</w:t>
      </w:r>
      <w:r>
        <w:rPr>
          <w:sz w:val="20"/>
          <w:szCs w:val="20"/>
          <w:color w:val="auto"/>
        </w:rPr>
        <w:tab/>
      </w:r>
      <w:r>
        <w:rPr>
          <w:rFonts w:ascii="Times New Roman" w:cs="Times New Roman" w:eastAsia="Times New Roman" w:hAnsi="Times New Roman"/>
          <w:sz w:val="18"/>
          <w:szCs w:val="18"/>
          <w:u w:val="single" w:color="auto"/>
          <w:color w:val="0000EE"/>
        </w:rPr>
        <w:t>Press release, dated June 24, 2024.</w:t>
      </w:r>
    </w:p>
    <w:p>
      <w:pPr>
        <w:spacing w:after="0" w:line="117" w:lineRule="exact"/>
        <w:rPr>
          <w:rFonts w:ascii="Times New Roman" w:cs="Times New Roman" w:eastAsia="Times New Roman" w:hAnsi="Times New Roman"/>
          <w:sz w:val="18"/>
          <w:szCs w:val="18"/>
          <w:b w:val="1"/>
          <w:bCs w:val="1"/>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b w:val="1"/>
          <w:bCs w:val="1"/>
          <w:color w:val="auto"/>
        </w:rPr>
        <w:t>(a)(5)(vii)</w:t>
      </w:r>
      <w:r>
        <w:rPr>
          <w:sz w:val="20"/>
          <w:szCs w:val="20"/>
          <w:color w:val="auto"/>
        </w:rPr>
        <w:tab/>
      </w:r>
      <w:r>
        <w:rPr>
          <w:rFonts w:ascii="Times New Roman" w:cs="Times New Roman" w:eastAsia="Times New Roman" w:hAnsi="Times New Roman"/>
          <w:sz w:val="18"/>
          <w:szCs w:val="18"/>
          <w:u w:val="single" w:color="auto"/>
          <w:color w:val="0000EE"/>
        </w:rPr>
        <w:t>Press release, dated June 24, 2024.</w:t>
      </w:r>
    </w:p>
    <w:p>
      <w:pPr>
        <w:spacing w:after="0" w:line="121" w:lineRule="exact"/>
        <w:rPr>
          <w:rFonts w:ascii="Times New Roman" w:cs="Times New Roman" w:eastAsia="Times New Roman" w:hAnsi="Times New Roman"/>
          <w:sz w:val="18"/>
          <w:szCs w:val="18"/>
          <w:b w:val="1"/>
          <w:bCs w:val="1"/>
          <w:color w:val="auto"/>
        </w:rPr>
      </w:pPr>
    </w:p>
    <w:p>
      <w:pPr>
        <w:ind w:left="924" w:hanging="924"/>
        <w:spacing w:after="0"/>
        <w:tabs>
          <w:tab w:leader="none" w:pos="9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13" w:lineRule="exact"/>
        <w:rPr>
          <w:rFonts w:ascii="Times New Roman" w:cs="Times New Roman" w:eastAsia="Times New Roman" w:hAnsi="Times New Roman"/>
          <w:sz w:val="18"/>
          <w:szCs w:val="18"/>
          <w:b w:val="1"/>
          <w:bCs w:val="1"/>
          <w:color w:val="auto"/>
        </w:rPr>
      </w:pPr>
    </w:p>
    <w:p>
      <w:pPr>
        <w:ind w:left="924" w:right="140" w:hanging="919"/>
        <w:spacing w:after="0" w:line="282" w:lineRule="auto"/>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(d)(1)</w:t>
      </w:r>
      <w:r>
        <w:rPr>
          <w:sz w:val="20"/>
          <w:szCs w:val="20"/>
          <w:color w:val="auto"/>
        </w:rPr>
        <w:tab/>
      </w:r>
      <w:hyperlink r:id="rId29">
        <w:r>
          <w:rPr>
            <w:rFonts w:ascii="Times New Roman" w:cs="Times New Roman" w:eastAsia="Times New Roman" w:hAnsi="Times New Roman"/>
            <w:sz w:val="18"/>
            <w:szCs w:val="18"/>
            <w:u w:val="single" w:color="auto"/>
            <w:color w:val="0000EE"/>
          </w:rPr>
          <w:t>Put and Call Option Agreement, dated May 20, 2024, by and between PureTech</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Health plc and Jefferies International Limited. *</w:t>
        </w:r>
      </w:hyperlink>
    </w:p>
    <w:p>
      <w:pPr>
        <w:spacing w:after="0" w:line="54" w:lineRule="exact"/>
        <w:rPr>
          <w:sz w:val="20"/>
          <w:szCs w:val="20"/>
          <w:color w:val="auto"/>
        </w:rPr>
      </w:pPr>
    </w:p>
    <w:p>
      <w:pPr>
        <w:ind w:left="4"/>
        <w:spacing w:after="0"/>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(d)(2)</w:t>
      </w:r>
      <w:r>
        <w:rPr>
          <w:sz w:val="20"/>
          <w:szCs w:val="20"/>
          <w:color w:val="auto"/>
        </w:rPr>
        <w:tab/>
      </w:r>
      <w:hyperlink r:id="rId30">
        <w:r>
          <w:rPr>
            <w:rFonts w:ascii="Times New Roman" w:cs="Times New Roman" w:eastAsia="Times New Roman" w:hAnsi="Times New Roman"/>
            <w:sz w:val="18"/>
            <w:szCs w:val="18"/>
            <w:u w:val="single" w:color="auto"/>
            <w:color w:val="0000EE"/>
          </w:rPr>
          <w:t>Performance Share Plan</w:t>
        </w:r>
      </w:hyperlink>
    </w:p>
    <w:p>
      <w:pPr>
        <w:spacing w:after="0" w:line="117" w:lineRule="exact"/>
        <w:rPr>
          <w:sz w:val="20"/>
          <w:szCs w:val="20"/>
          <w:color w:val="auto"/>
        </w:rPr>
      </w:pPr>
    </w:p>
    <w:p>
      <w:pPr>
        <w:ind w:left="924" w:hanging="919"/>
        <w:spacing w:after="0" w:line="282" w:lineRule="auto"/>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(d)(3)</w:t>
      </w:r>
      <w:r>
        <w:rPr>
          <w:sz w:val="20"/>
          <w:szCs w:val="20"/>
          <w:color w:val="auto"/>
        </w:rPr>
        <w:tab/>
      </w:r>
      <w:hyperlink r:id="rId31">
        <w:r>
          <w:rPr>
            <w:rFonts w:ascii="Times New Roman" w:cs="Times New Roman" w:eastAsia="Times New Roman" w:hAnsi="Times New Roman"/>
            <w:sz w:val="18"/>
            <w:szCs w:val="18"/>
            <w:u w:val="single" w:color="auto"/>
            <w:color w:val="0000EE"/>
          </w:rPr>
          <w:t>Form of Incentive Stock Option Deed of Agreement under the Performance Share</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Plan</w:t>
        </w:r>
      </w:hyperlink>
    </w:p>
    <w:p>
      <w:pPr>
        <w:spacing w:after="0" w:line="54" w:lineRule="exact"/>
        <w:rPr>
          <w:sz w:val="20"/>
          <w:szCs w:val="20"/>
          <w:color w:val="auto"/>
        </w:rPr>
      </w:pPr>
    </w:p>
    <w:p>
      <w:pPr>
        <w:ind w:left="924" w:right="180" w:hanging="919"/>
        <w:spacing w:after="0" w:line="282" w:lineRule="auto"/>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(d)(4)</w:t>
      </w:r>
      <w:r>
        <w:rPr>
          <w:sz w:val="20"/>
          <w:szCs w:val="20"/>
          <w:color w:val="auto"/>
        </w:rPr>
        <w:tab/>
      </w:r>
      <w:hyperlink r:id="rId32">
        <w:r>
          <w:rPr>
            <w:rFonts w:ascii="Times New Roman" w:cs="Times New Roman" w:eastAsia="Times New Roman" w:hAnsi="Times New Roman"/>
            <w:sz w:val="18"/>
            <w:szCs w:val="18"/>
            <w:u w:val="single" w:color="auto"/>
            <w:color w:val="0000EE"/>
          </w:rPr>
          <w:t>Form of Nonstatutory Stock Option Deed of Agreement under the Performance</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Share Plan</w:t>
        </w:r>
      </w:hyperlink>
    </w:p>
    <w:p>
      <w:pPr>
        <w:spacing w:after="0" w:line="54" w:lineRule="exact"/>
        <w:rPr>
          <w:sz w:val="20"/>
          <w:szCs w:val="20"/>
          <w:color w:val="auto"/>
        </w:rPr>
      </w:pPr>
    </w:p>
    <w:p>
      <w:pPr>
        <w:ind w:left="4"/>
        <w:spacing w:after="0"/>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(d)(5)</w:t>
      </w:r>
      <w:r>
        <w:rPr>
          <w:sz w:val="20"/>
          <w:szCs w:val="20"/>
          <w:color w:val="auto"/>
        </w:rPr>
        <w:tab/>
      </w:r>
      <w:hyperlink r:id="rId33">
        <w:r>
          <w:rPr>
            <w:rFonts w:ascii="Times New Roman" w:cs="Times New Roman" w:eastAsia="Times New Roman" w:hAnsi="Times New Roman"/>
            <w:sz w:val="18"/>
            <w:szCs w:val="18"/>
            <w:u w:val="single" w:color="auto"/>
            <w:color w:val="0000EE"/>
          </w:rPr>
          <w:t>Form of Restricted Share Units Agreement under the Performance Share Plan</w:t>
        </w:r>
      </w:hyperlink>
    </w:p>
    <w:p>
      <w:pPr>
        <w:spacing w:after="0" w:line="121" w:lineRule="exact"/>
        <w:rPr>
          <w:sz w:val="20"/>
          <w:szCs w:val="20"/>
          <w:color w:val="auto"/>
        </w:rPr>
      </w:pPr>
    </w:p>
    <w:p>
      <w:pPr>
        <w:ind w:left="924" w:hanging="924"/>
        <w:spacing w:after="0"/>
        <w:tabs>
          <w:tab w:leader="none" w:pos="9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b w:val="1"/>
          <w:bCs w:val="1"/>
          <w:color w:val="auto"/>
        </w:rPr>
      </w:pPr>
    </w:p>
    <w:p>
      <w:pPr>
        <w:ind w:left="924" w:hanging="924"/>
        <w:spacing w:after="0"/>
        <w:tabs>
          <w:tab w:leader="none" w:pos="9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924" w:hanging="924"/>
        <w:spacing w:after="0"/>
        <w:tabs>
          <w:tab w:leader="none" w:pos="924" w:val="left"/>
        </w:tabs>
        <w:numPr>
          <w:ilvl w:val="0"/>
          <w:numId w:val="4"/>
        </w:numPr>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Filing Fee Table. *</w:t>
        </w:r>
      </w:hyperlink>
    </w:p>
    <w:p>
      <w:pPr>
        <w:spacing w:after="0" w:line="252" w:lineRule="exact"/>
        <w:rPr>
          <w:rFonts w:ascii="Times New Roman" w:cs="Times New Roman" w:eastAsia="Times New Roman" w:hAnsi="Times New Roman"/>
          <w:sz w:val="18"/>
          <w:szCs w:val="18"/>
          <w:u w:val="single" w:color="auto"/>
          <w:color w:val="0000EE"/>
        </w:rPr>
      </w:pPr>
    </w:p>
    <w:p>
      <w:pPr>
        <w:ind w:left="4"/>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Previously filed.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13. Information Required by Schedule 13E-3.</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Borders>
              <w:top w:val="single" w:sz="8" w:color="auto"/>
            </w:tcBorders>
            <w:vMerge w:val="restart"/>
          </w:tcPr>
          <w:p>
            <w:pPr>
              <w:spacing w:after="0"/>
              <w:rPr>
                <w:sz w:val="10"/>
                <w:szCs w:val="10"/>
                <w:color w:val="auto"/>
              </w:rPr>
            </w:pPr>
          </w:p>
        </w:tc>
        <w:tc>
          <w:tcPr>
            <w:tcW w:w="11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70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32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4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4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700" w:val="left"/>
          <w:tab w:leader="none" w:pos="1880" w:val="left"/>
          <w:tab w:leader="none" w:pos="2620" w:val="left"/>
        </w:tabs>
        <w:rPr>
          <w:sz w:val="20"/>
          <w:szCs w:val="20"/>
          <w:color w:val="auto"/>
        </w:rPr>
      </w:pPr>
      <w:r>
        <w:rPr>
          <w:rFonts w:ascii="Times New Roman" w:cs="Times New Roman" w:eastAsia="Times New Roman" w:hAnsi="Times New Roman"/>
          <w:sz w:val="18"/>
          <w:szCs w:val="18"/>
          <w:color w:val="auto"/>
        </w:rPr>
        <w:t>6-K</w:t>
      </w:r>
      <w:r>
        <w:rPr>
          <w:sz w:val="20"/>
          <w:szCs w:val="20"/>
          <w:color w:val="auto"/>
        </w:rPr>
        <w:tab/>
      </w:r>
      <w:r>
        <w:rPr>
          <w:rFonts w:ascii="Times New Roman" w:cs="Times New Roman" w:eastAsia="Times New Roman" w:hAnsi="Times New Roman"/>
          <w:sz w:val="18"/>
          <w:szCs w:val="18"/>
          <w:color w:val="auto"/>
        </w:rPr>
        <w:t>001-39670</w:t>
      </w:r>
      <w:r>
        <w:rPr>
          <w:sz w:val="20"/>
          <w:szCs w:val="20"/>
          <w:color w:val="auto"/>
        </w:rPr>
        <w:tab/>
      </w: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March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001-39670</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October 27, 2020</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001-39670</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October 27, 2020</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001-39670</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October 27, 2020</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001-39670</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October 27, 2020</w:t>
            </w:r>
          </w:p>
        </w:tc>
      </w:tr>
    </w:tbl>
    <w:p>
      <w:pPr>
        <w:sectPr>
          <w:pgSz w:w="11900" w:h="16838" w:orient="portrait"/>
          <w:cols w:equalWidth="0" w:num="2">
            <w:col w:w="6824" w:space="360"/>
            <w:col w:w="3780"/>
          </w:cols>
          <w:pgMar w:left="436" w:top="266" w:right="4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June 24, 2024</w:t>
      </w:r>
      <w:r>
        <w:rPr>
          <w:sz w:val="20"/>
          <w:szCs w:val="20"/>
          <w:color w:val="auto"/>
        </w:rPr>
        <w:tab/>
      </w:r>
      <w:r>
        <w:rPr>
          <w:rFonts w:ascii="Times New Roman" w:cs="Times New Roman" w:eastAsia="Times New Roman" w:hAnsi="Times New Roman"/>
          <w:sz w:val="17"/>
          <w:szCs w:val="17"/>
          <w:color w:val="auto"/>
        </w:rPr>
        <w:t>PURETECH HEALTH PLC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4" w:name="page5"/>
    <w:bookmarkEnd w:id="4"/>
    <w:p>
      <w:pPr>
        <w:ind w:left="9720"/>
        <w:spacing w:after="0"/>
        <w:rPr>
          <w:sz w:val="20"/>
          <w:szCs w:val="20"/>
          <w:color w:val="auto"/>
        </w:rPr>
      </w:pPr>
      <w:r>
        <w:rPr>
          <w:rFonts w:ascii="Times New Roman" w:cs="Times New Roman" w:eastAsia="Times New Roman" w:hAnsi="Times New Roman"/>
          <w:sz w:val="18"/>
          <w:szCs w:val="18"/>
          <w:b w:val="1"/>
          <w:bCs w:val="1"/>
          <w:color w:val="auto"/>
        </w:rPr>
        <w:t>Exhibit (a)(5)(vi)</w:t>
      </w:r>
    </w:p>
    <w:p>
      <w:pPr>
        <w:spacing w:after="0" w:line="22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CONTAINED IN THIS ANNOUNCEMENT IS NOT FOR RELEASE, PUBLICATION OR DISTRIBUTION IN WHOLE OR IN PART, DIRECTLY OR INDIRECTLY IN OR INTO AUSTRALIA, CANADA, JAPAN, NEW ZEALAND, SINGAPORE, THE REPUBLIC OF SOUTH AFRICA OR ANY OTHER JURISDICTION WHERE TO DO SO WOULD CONSTITUTE A VIOLATION OF THE RELEVANT LAWS OR REGULATIONS OF SUCH JURISDICTION.</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 2014) AS IT FORMS PART OF UK LAW BY VIRTUE OF THE EUROPEAN UNION (WITHDRAWAL) ACT 2018,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June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the Tender Offer</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PureTech Health plc (Nasdaq: PRTC, LSE: PRTC) (“PureTech” or the “Company”), a clinical-stage biotherapeutics company dedicated to changing the lives of patients with devastating diseases, today announces the results of the Tender Offer, as set out in the Shareholder circular published by the Company on 20 May 2024 (the “Circular”).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Capitalised terms used in this announcement but not defined have the meanings given to them in the Circular.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Tender Offer for the Company’s Ordinary Shares closed at 1:00 p.m. London time on Thursday 20 June 2024 (the “Ordinary Share Closing Date”), and the Tender Offer for the Company’s ADSs closed at 5:00 p.m. New York City time on Tuesday 18 June 2024 (the “ADS Closing Date”).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maximum aggregate number of Ordinary Shares (including Ordinary Shares represented by ADSs) that could be purchased pursuant to the Tender Offer was 33,500,000 Ordinary Shares (including Ordinary Shares represented by ADSs) at a fixed price of 250 pence per Ordinary Share (equivalent to £25.00 per ADS) (the “Tender Price”) for maximum aggregate amount of $100 million. Valid tenders were received in respect of 172,408,704 Ordinary Shares (including Ordinary Shares represented by ADSs).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Tender Offer was oversubscribed by 140,867,938 Ordinary Shares (including Ordinary Shares represented by ADSs), not all of the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(including Ordinary Shares represented by ADSs) that have been validly tendered will be accepted and purchased. Therefore, tenders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scaled down pro-rata to the total number of Ordinary Shares (including Ordinary Shares represented by ADSs) so tendered by that Shareholder,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total cost of Ordinary Shares (including Ordinary Shares represented by ADSs) purchased pursuant to the Tender Offer does not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or the total number of validly tendered Ordinary Shares (including Ordinary Shares represented by ADSs) does not exceed 33,500,000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as described in paragraphs 2.14 of Part V of the Circular.</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any fractions arise from the scaling-down as stated above, the number of Ordinary Shares tendered by each Shareholder shall be rounded down to the nearest whole Ordinary Share (or to nil, as the case may be) and purchased in the Tender Offer and the balance of the total number of Ordinary Shares (including</w:t>
      </w:r>
    </w:p>
    <w:p>
      <w:pPr>
        <w:sectPr>
          <w:pgSz w:w="11900" w:h="16838" w:orient="portrait"/>
          <w:cols w:equalWidth="0" w:num="1">
            <w:col w:w="11020"/>
          </w:cols>
          <w:pgMar w:left="440" w:top="117" w:right="439" w:bottom="1440" w:gutter="0" w:footer="0" w:header="0"/>
        </w:sectPr>
      </w:pPr>
    </w:p>
    <w:bookmarkStart w:id="5" w:name="page6"/>
    <w:bookmarkEnd w:id="5"/>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Ordinary Shares represented by ADSs) so tendered by that Shareholder will not be accepted and purchased in the Tender Offer and will be returned to Shareholders, as described in paragraphs 2.15 of Part V of the Circular.</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total 31,540,670 Ordinary Shares (including Ordinary Shares represented by ADSs) will be purchased in accordance with the terms and subject to the conditions of the Tender Offer at the Tender Price, for a total cost of $100 million. This represents approximately 12 per cent of the Issued Ordinary Share Capital of the Company.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detailed in the Circular, the Company will buy back the successfully tendered Ordinary Shares (including Ordinary Shares represented by ADSs) from Jefferies International Limited (“Jefferies”) and, following such repurchase, cancel such Ordinary Shares (including Ordinary Shares represented by ADSs), thereby reducing its total Issued Ordinary Share Capital and total voting rights from 270,859,250 to 239,318,580 Ordinary Shares (including Ordinary Shares represented by ADSs), excluding 18,608,909 Ordinary Shares held in treasury. This figure may be used by Shareholders as the denominator for the calculations by which they will determine if they are required to notify their interest in, or a change to their interest in, the Company under the Transparency Regulations and the Disclosure Guidance and Transparency Rules of the Financial Conduct Authority.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anticipated that the proceeds will be payable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of Ordinary Shares</w:t>
      </w:r>
    </w:p>
    <w:p>
      <w:pPr>
        <w:spacing w:after="0" w:line="135" w:lineRule="exact"/>
        <w:rPr>
          <w:sz w:val="20"/>
          <w:szCs w:val="20"/>
          <w:color w:val="auto"/>
        </w:rPr>
      </w:pPr>
    </w:p>
    <w:p>
      <w:pPr>
        <w:ind w:left="960" w:right="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to the Company’s Shareholders for Ordinary Shares held in Certificated Form purchased under the Tender Offer will be despatched in the form of a cheque by or on 3 July 2024; and</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to the Company’s Shareholders for Ordinary Shares in Uncertificated Form purchased under the Tender Offer will be paid through CREST by or on 25 June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ADSs Holders</w:t>
      </w:r>
    </w:p>
    <w:p>
      <w:pPr>
        <w:spacing w:after="0" w:line="135" w:lineRule="exact"/>
        <w:rPr>
          <w:sz w:val="20"/>
          <w:szCs w:val="20"/>
          <w:color w:val="auto"/>
        </w:rPr>
      </w:pPr>
    </w:p>
    <w:p>
      <w:pPr>
        <w:ind w:left="960" w:right="7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for successfully tendered Ordinary Shares represented by ADS Holders who hold ADSs on the books of the Depositary will be despatched in the form of a cheque by or on 3 July 2024, at the risk of the person entitled thereto; and</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for successfully tendered Ordinary Shares represented by ADSs held by ADS Holders who hold ADSs through a bank, broker or other nominee participant of DTC will be made to DTC by or on 3 July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intends to rely on the Tier II exemption from Rule 14e-1(c) on prompt payment where the Company will follow English law and practice.</w:t>
      </w:r>
    </w:p>
    <w:p>
      <w:pPr>
        <w:spacing w:after="0" w:line="23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All cash payments of proceeds for successfully tendered Ordinary Shares represented by ADSs under the Tender Offer will be made (i) by Jefferies in pounds sterling by CREST payment to the nominee account of the Depositary, in respect of Ordinary Shares underlying the ADSs, and then (ii) after conversion thereof by the Tender Agent, in US dollars, (a) in the case of ADS Holders whose ADSs are held on the books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by cheque, and (b) in the case of payment to Cede &amp; Co., as nominee for DTC, by wire transfer issued by a US bank, in each case in respect of ADSs purchased in the Tender Offer. The actual amount of US dollars received will depend upon the exchange rate obtained when such currency is exchanged. In all cases, fluctuations in the US dollar/pound sterling exchange rate are at the risk of the tendering ADS Holders who will receive their consideration in US dollars.</w:t>
      </w:r>
    </w:p>
    <w:p>
      <w:pPr>
        <w:spacing w:after="0" w:line="180"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The attention of Shareholders and ADS Holders is drawn to Part VI of the Circular, which provides a summary of certain material UK tax and US federal income tax consequences for Shareholders and ADS Holders of accepting the Tender Offer or receipt of the Special Dividend (if any).</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Jefferies will implement the Tender Offer by acquiring, as principal, the successfully tendered Ordinary Shares (including Ordinary Shares represented by ADSs) at the Tender Price. Ordinary Shares (including Ordinary Shares represented by ADSs) purchased by Jefferies pursuant to the Tender Offer will be purchased as principal and such purchases will be market purchases in accordance with the provisions of the Act, the Prospectus Regulation Rules, the Listing Rules, the rules of the London Stock Exchange, the Disclosure Guidance and Transparency Rules and the Takeover Code. Immediately following completion of the Tender Offer, Jefferies shall exercise its right to sell such Ordinary Shares (including Ordinary Shares represented by ADSs) to the Company, at the Tender Price, pursuant to the Option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IR@puretechhealth.com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ematthews1@jefferies.com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Jee.Lee@jefferies.com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puretech@fticonsulting.com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nichole@tenbridgecommunications.com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440" w:top="270" w:right="6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announcement is neither an offer to purchase nor a solicitation of an offer to sell Ordinary Shares (including Ordinary Shares represented by ADSs). The Tender Offer is made only pursuant to the Circular, the related Tender Form with respect to the Ordinary Shares and the related Letter of Transmittal with respect to the ADSs, which Shareholders were advised to read in full.</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Jefferies, which is authorised and regulated by the Financial Conduct Authority in the United Kingdom (“FCA”), is acting exclusively for the Company as financial advisor and broker in connection with the Tender Offer and is not, and will not be, responsible to anyone other than the Company for providing the protections afforded to its clients nor for providing advice in connection with the Tender Offer or any other matters set out in this announcement.</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Apart from the responsibilities and liabilities, if any, which may be imposed on Jefferies under the Financial Services and Markets Act 2000, as amended or the regulatory regime established thereunder: (i) neither Jefferies or any persons associated or affiliated with Jefferies accepts any responsibility whatsoever or makes any warranty or representation, express or implied, in relation to the contents of this announcement, including its accuracy, completeness or verification or for any other statement made or purported to be made by, or on behalf of it, the Company or the directors of the Company, in connection with the Company and/or the Tender Offer; and (ii) Jefferies accordingly disclaims, to the fullest extent permitted by law, all and any liability whatsoever, whether arising in tort, contract or otherwise (save as referred to above) which it might otherwise be found to have in respect of this announcement or any such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Tender Offer, including the timing of payment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return of Ordinary Shares not accepted for payment.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9" w:name="page10"/>
    <w:bookmarkEnd w:id="9"/>
    <w:p>
      <w:pPr>
        <w:ind w:left="9660"/>
        <w:spacing w:after="0"/>
        <w:rPr>
          <w:sz w:val="20"/>
          <w:szCs w:val="20"/>
          <w:color w:val="auto"/>
        </w:rPr>
      </w:pPr>
      <w:r>
        <w:rPr>
          <w:rFonts w:ascii="Times New Roman" w:cs="Times New Roman" w:eastAsia="Times New Roman" w:hAnsi="Times New Roman"/>
          <w:sz w:val="18"/>
          <w:szCs w:val="18"/>
          <w:b w:val="1"/>
          <w:bCs w:val="1"/>
          <w:color w:val="auto"/>
        </w:rPr>
        <w:t>Exhibit (a)(5)(vii)</w:t>
      </w:r>
    </w:p>
    <w:p>
      <w:pPr>
        <w:spacing w:after="0" w:line="22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CONTAINED IN THIS ANNOUNCEMENT IS NOT FOR RELEASE, PUBLICATION OR DISTRIBUTION IN WHOLE OR IN PART, DIRECTLY OR INDIRECTLY IN OR INTO AUSTRALIA, CANADA, JAPAN, NEW ZEALAND, SINGAPORE, THE REPUBLIC OF SOUTH AFRICA OR ANY OTHER JURISDICTION WHERE TO DO SO WOULD CONSTITUTE A VIOLATION OF THE RELEVANT LAWS OR REGULATIONS OF SUCH JURISDICTION.</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 2014) AS IT FORMS PART OF UK LAW BY VIRTUE OF THE EUROPEAN UNION (WITHDRAWAL) ACT 2018,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June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Completion of Tender Offer &amp; Total Voting Rights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PureTech Health plc (Nasdaq: PRTC, LSE: PRTC) (“PureTech” or the “Company”), a clinical-stage biotherapeutics company dedicated to changing the lives of patients with devastating diseases, confirms that the Tender Offer announced by the Company on 20 May 2024 is now complete as of 24 June 2024. The total value returned to Shareholders via the Tender Offer is $100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used in this announcement shall have the same meaning as set out in the Company’s Circular in respect of the Tender Offer dated 20 May 2024.</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the terms of the Tender Offer, Jefferies International Limited (“Jefferies”) purchased 31,540,670 Ordinary Shares (including Ordinary Shares represented by ADSs) at the fixed price of 250 pence per Ordinary Share (equivalent to £25.00 per ADS) (the “Tender Price”) representing an aggregate amount of $100 million. On Monday 24 June 2024, these Ordinary Shares (including Ordinary Shares represented by ADSs) were subsequently acquired from Jefferies by the Company on the London Stock Exchange pursuant to the terms of an Option Agreement at the Tender Price. The Company intends to cancel the 31,540,670 Ordinary Shares delivered from Jefferies, which are currently held in treasury.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the Tender Offer consideration will be payable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of Ordinary Shares</w:t>
      </w:r>
    </w:p>
    <w:p>
      <w:pPr>
        <w:spacing w:after="0" w:line="135" w:lineRule="exact"/>
        <w:rPr>
          <w:sz w:val="20"/>
          <w:szCs w:val="20"/>
          <w:color w:val="auto"/>
        </w:rPr>
      </w:pPr>
    </w:p>
    <w:p>
      <w:pPr>
        <w:ind w:left="960" w:right="1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to the Company’s Shareholders for Ordinary Shares held in Certificated Form purchased under the Tender Offer will be despatched in the form of a cheque by or on 3 July 2024; and</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to the Company’s Shareholders for Ordinary Shares in Uncertificated Form purchased under the Tender Offer will be paid through CREST by or on 25 June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ADSs Holders</w:t>
      </w:r>
    </w:p>
    <w:p>
      <w:pPr>
        <w:spacing w:after="0" w:line="135" w:lineRule="exact"/>
        <w:rPr>
          <w:sz w:val="20"/>
          <w:szCs w:val="20"/>
          <w:color w:val="auto"/>
        </w:rPr>
      </w:pPr>
    </w:p>
    <w:p>
      <w:pPr>
        <w:ind w:left="960" w:right="74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payable for successfully tendered Ordinary Shares represented by ADS Holders who hold ADSs on the books of the Depositary will be despatched in the form of a cheque by or on 3 July 2024, at the risk of the person entitled thereto; and</w:t>
      </w:r>
    </w:p>
    <w:p>
      <w:pPr>
        <w:sectPr>
          <w:pgSz w:w="11900" w:h="16838" w:orient="portrait"/>
          <w:cols w:equalWidth="0" w:num="1">
            <w:col w:w="11020"/>
          </w:cols>
          <w:pgMar w:left="440" w:top="117" w:right="439" w:bottom="1440" w:gutter="0" w:footer="0" w:header="0"/>
        </w:sectPr>
      </w:pPr>
    </w:p>
    <w:bookmarkStart w:id="10" w:name="page11"/>
    <w:bookmarkEnd w:id="10"/>
    <w:p>
      <w:pPr>
        <w:ind w:left="960" w:right="3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proceeds payable for successfully tendered Ordinary Shares represented by ADSs held by ADS Holders who hold ADSs through a bank, broker or other nominee participant of DTC will be made to DTC by or on 3 July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rely on the Tier II exemption from Rule 14e-1(c) on prompt payment where the Company will follow English law and practice.</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cash payments of proceeds for successfully tendered Ordinary Shares represented by ADSs under the Tender Offer will be made (i) by Jefferies in pounds sterling by CREST payment to the nominee account of the Depositary, in respect of Ordinary Shares underlying the ADSs, and then (ii) after conversion thereof by the Tender Agent, in US dollars, (a) in the case of ADS Holders whose ADSs are held on the books of the Depositary, by cheque, and (b) in the case of payment to Cede &amp; Co., as nominee for DTC, by wire transfer issued by a US bank, in each case in respect of ADSs purchased in the Tender Offer. The actual amount of US dollars received will depend upon the exchange rate obtained when such currency is exchanged. In all cases, fluctuations in the US dollar/pound sterling exchange rate are at the risk of the tendering ADS Holders who will receive their consideration in US dollars.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completion of the Tender Offer and the cancellation of 31,540,670 Ordinary Shares (including Ordinary Shares represented by ADSs), and in accordance with Rule 5.6.1 of the Financial Conduct Authority’s Disclosure Guidance and Transparency Rules, the Company’s Issued Ordinary Share Capital as at 24 June 2024 consists of 239,318,580 Ordinary Shares, all of which carry voting rights. The Company holds 18,608,909 Ordinary Shares in treasury. Therefore, the total number of voting rights attaching to Ordinary Shares in the Company is 239,318,580.</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239,318,580 may be used by Shareholders as the denominator for the calculations by which they will determine if they are required to notify their interest in, or a change to their interest in, Ordinary Shares to the Company under the Financial Conduct Authority’s Disclosure Guidance and Transparency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IR@puretechhealth.com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ematthews1@jefferies.com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Jee.Lee@jefferies.com</w:t>
      </w:r>
    </w:p>
    <w:p>
      <w:pPr>
        <w:sectPr>
          <w:pgSz w:w="11900" w:h="16838" w:orient="portrait"/>
          <w:cols w:equalWidth="0" w:num="1">
            <w:col w:w="11000"/>
          </w:cols>
          <w:pgMar w:left="440"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puretech@fticonsulting.com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nichole@tenbridgecommunications.com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announcement is neither an offer to purchase nor a solicitation of an offer to sell Ordinary Shares (including Ordinary Shares represented by ADSs). The Tender Offer is made only pursuant to the Circular, the related Tender Form with respect to the Ordinary Shares and the related Letter of Transmittal with respect to the ADSs, which Shareholders were advised to read in full.</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Jefferies, which is authorised and regulated by the Financial Conduct Authority in the United Kingdom (“FCA”), is acting exclusively for the Company as financial advisor and broker in connection with the Tender Offer and is not, and will not be, responsible to anyone other than the Company for providing the protections afforded to its clients nor for providing advice in connection with the Tender Offer or any other matters set out in this announcement.</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Apart from the responsibilities and liabilities, if any, which may be imposed on Jefferies under the Financial Services and Markets Act 2000, as amended or the regulatory regime established thereunder: (i) neither Jefferies or any persons associated or affiliated with Jefferies accepts any responsibility whatsoever or makes any warranty or representation, express or implied, in relation to the contents of this announcement, including its accuracy, completeness or verification or for any other statement made or purported to be made by, or on behalf of it, the Company or the directors of the Company, in connection with the Company and/or the Tender Offer; and (ii) Jefferies accordingly disclaims, to the fullest extent permitted by law, all and any liability whatsoever, whether arising in tort, contract or otherwise (save as referred to above) which it might otherwise be found to have in respect of this announcement or any such statement.</w:t>
      </w:r>
    </w:p>
    <w:p>
      <w:pPr>
        <w:sectPr>
          <w:pgSz w:w="11900" w:h="16838" w:orient="portrait"/>
          <w:cols w:equalWidth="0" w:num="1">
            <w:col w:w="11000"/>
          </w:cols>
          <w:pgMar w:left="440" w:top="266"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Tender Offer, including the timing of payment.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7"/>
    </w:lvl>
  </w:abstractNum>
  <w:abstractNum w:abstractNumId="3">
    <w:nsid w:val="2EB141F2"/>
    <w:multiLevelType w:val="hybridMultilevel"/>
    <w:lvl w:ilvl="0">
      <w:lvlJc w:val="left"/>
      <w:lvlText w:val="%1"/>
      <w:numFmt w:val="decimal"/>
      <w:start w:val="107"/>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19" Type="http://schemas.openxmlformats.org/officeDocument/2006/relationships/hyperlink" Target="http://www.sec.gov/Archives/edgar/data/1782999/000119312524142208/d824781dex99a1i.htm" TargetMode="External"/><Relationship Id="rId20" Type="http://schemas.openxmlformats.org/officeDocument/2006/relationships/hyperlink" Target="http://www.sec.gov/Archives/edgar/data/1782999/000119312524142208/d824781dex99a1ii.htm" TargetMode="External"/><Relationship Id="rId21" Type="http://schemas.openxmlformats.org/officeDocument/2006/relationships/hyperlink" Target="http://www.sec.gov/Archives/edgar/data/1782999/000119312524142208/d824781dex99a1iii.htm" TargetMode="External"/><Relationship Id="rId22" Type="http://schemas.openxmlformats.org/officeDocument/2006/relationships/hyperlink" Target="http://www.sec.gov/Archives/edgar/data/1782999/000119312524142208/d824781dex99a1iv.htm" TargetMode="External"/><Relationship Id="rId23" Type="http://schemas.openxmlformats.org/officeDocument/2006/relationships/hyperlink" Target="http://www.sec.gov/Archives/edgar/data/1782999/000119312524142208/d824781dex99a1v.htm" TargetMode="External"/><Relationship Id="rId24" Type="http://schemas.openxmlformats.org/officeDocument/2006/relationships/hyperlink" Target="http://www.sec.gov/Archives/edgar/data/1922446/000110465924024283/tm246346d1_ex99-1.htm" TargetMode="External"/><Relationship Id="rId25" Type="http://schemas.openxmlformats.org/officeDocument/2006/relationships/hyperlink" Target="http://www.sec.gov/Archives/edgar/data/1782999/000119312524142208/d824781dex99a5ii.htm" TargetMode="External"/><Relationship Id="rId26" Type="http://schemas.openxmlformats.org/officeDocument/2006/relationships/hyperlink" Target="http://www.sec.gov/Archives/edgar/data/1782999/000119312524142208/d824781dex99a5iii.htm" TargetMode="External"/><Relationship Id="rId27" Type="http://schemas.openxmlformats.org/officeDocument/2006/relationships/hyperlink" Target="http://www.sec.gov/Archives/edgar/data/1782999/000119312524153618/d844991dex99a5iv.htm" TargetMode="External"/><Relationship Id="rId28" Type="http://schemas.openxmlformats.org/officeDocument/2006/relationships/hyperlink" Target="http://www.sec.gov/Archives/edgar/data/1782999/000119312524156134/d768793dex99a5v.htm" TargetMode="External"/><Relationship Id="rId29" Type="http://schemas.openxmlformats.org/officeDocument/2006/relationships/hyperlink" Target="http://www.sec.gov/Archives/edgar/data/1782999/000119312524142208/d824781dex99d1.htm" TargetMode="External"/><Relationship Id="rId30" Type="http://schemas.openxmlformats.org/officeDocument/2006/relationships/hyperlink" Target="http://www.sec.gov/Archives/edgar/data/1782999/000119312520278627/d68105dex101.htm" TargetMode="External"/><Relationship Id="rId31" Type="http://schemas.openxmlformats.org/officeDocument/2006/relationships/hyperlink" Target="http://www.sec.gov/Archives/edgar/data/1782999/000119312520278627/d68105dex102.htm" TargetMode="External"/><Relationship Id="rId32" Type="http://schemas.openxmlformats.org/officeDocument/2006/relationships/hyperlink" Target="http://www.sec.gov/Archives/edgar/data/1782999/000119312520278627/d68105dex103.htm" TargetMode="External"/><Relationship Id="rId33" Type="http://schemas.openxmlformats.org/officeDocument/2006/relationships/hyperlink" Target="http://www.sec.gov/Archives/edgar/data/1782999/000119312520278627/d68105dex104.htm" TargetMode="External"/><Relationship Id="rId34" Type="http://schemas.openxmlformats.org/officeDocument/2006/relationships/hyperlink" Target="http://www.sec.gov/Archives/edgar/data/1782999/000119312524142208/d82478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2024-06-24T15:27:15Z</dcterms:created>
  <dcterms:modified xsi:type="dcterms:W3CDTF">2024-06-24T15:27:15Z</dcterms:modified>
</cp:coreProperties>
</file>