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21590</wp:posOffset>
            </wp:positionV>
            <wp:extent cx="7049770" cy="7482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748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PureTech Health plc</w:t>
        </w:r>
      </w:hyperlink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 TIDE STREET,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GELESIS HOLDINGS, INC.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GLSH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2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09/20/2023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00" w:right="4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0.0494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09/20/2023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1,500,000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09/20/2023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03/31/2024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30,364,372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1,500,000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1,500,000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PureTech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Note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plc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LLC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PLC,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-9525</wp:posOffset>
            </wp:positionV>
            <wp:extent cx="134810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14427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09/21/2023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8580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Business,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05981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Financial and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2903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LLC,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-9525</wp:posOffset>
            </wp:positionV>
            <wp:extent cx="135382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14427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09/21/2023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858010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1079500" cy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289560" cy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12" Type="http://schemas.openxmlformats.org/officeDocument/2006/relationships/hyperlink" Target="http://www.sec.gov/cgi-bin/browse-edgar?action=getcompany&amp;CIK=0001782999" TargetMode="External"/><Relationship Id="rId13" Type="http://schemas.openxmlformats.org/officeDocument/2006/relationships/hyperlink" Target="http://www.sec.gov/cgi-bin/browse-edgar?action=getcompany&amp;CIK=0001805087" TargetMode="External"/><Relationship Id="rId14" Type="http://schemas.openxmlformats.org/officeDocument/2006/relationships/hyperlink" Target="http://www.sec.gov/cgi-bin/browse-edgar?action=getcompany&amp;CIK=00017273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2023-09-21T15:52:11Z</dcterms:created>
  <dcterms:modified xsi:type="dcterms:W3CDTF">2023-09-21T15:52:11Z</dcterms:modified>
</cp:coreProperties>
</file>