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80593d6k.htm"/>
      <w:bookmarkStart w:id="1" w:name="ksd880593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June, 2023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001-39670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PURETECH HEALTH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6 Tide Street,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During the month ended June 30, 2023, the Company had the following daily purchases of its own Ordinary Shares under the Program through Jefferies: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1"/>
        <w:gridCol w:w="214"/>
        <w:gridCol w:w="140"/>
        <w:gridCol w:w="1591"/>
        <w:gridCol w:w="60"/>
        <w:gridCol w:w="214"/>
        <w:gridCol w:w="142"/>
        <w:gridCol w:w="1908"/>
        <w:gridCol w:w="60"/>
        <w:gridCol w:w="214"/>
        <w:gridCol w:w="132"/>
        <w:gridCol w:w="1774"/>
        <w:gridCol w:w="60"/>
        <w:gridCol w:w="214"/>
        <w:gridCol w:w="129"/>
        <w:gridCol w:w="1747"/>
        <w:gridCol w:w="65"/>
      </w:tblGrid>
      <w:tr>
        <w:trPr/>
        <w:tc>
          <w:tcPr>
            <w:tcW w:w="1541"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214" w:type="dxa"/>
            <w:tcBorders/>
            <w:vAlign w:val="bottom"/>
          </w:tcPr>
          <w:p>
            <w:pPr>
              <w:pStyle w:val="TableContents"/>
              <w:bidi w:val="0"/>
              <w:spacing w:before="0" w:after="283"/>
              <w:jc w:val="left"/>
              <w:rPr/>
            </w:pPr>
            <w:r>
              <w:rPr/>
              <w:t>  </w:t>
            </w:r>
          </w:p>
        </w:tc>
        <w:tc>
          <w:tcPr>
            <w:tcW w:w="1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Ordinary Shares</w:t>
              <w:br/>
              <w:t>Repurchased</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 Weighted</w:t>
              <w:br/>
              <w:t>Average Price Paid</w:t>
              <w:br/>
              <w:t>per Ordinary Share</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Highest Price Paid</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Lowest Price Paid</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1,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43,475</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219.45p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222.50p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215.00p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2,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47,401</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224.26p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229.00p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219.00p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5,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17,052</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234.45p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234.50p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232.50p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6,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47,846</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235.75p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236.50p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234.50p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7,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48,641</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236.88p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238.50p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233.50p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8,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48,064</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239.73p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241.00p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236.00p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9,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49,317</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241.00p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243.50p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237.50p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12,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49,134</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237.99p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240.00p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234.50p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13,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45,779</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237.89p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240.00p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235.50p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14,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48,839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234.64p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237.00p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233.00p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15,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52,481</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234.02p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236.50p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232.00p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16,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53,031</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235.80p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238.00p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234.00p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19,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54,956</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234.07p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235.50p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231.00p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20,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54,341</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232.72p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234.00p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230.00p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21,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47,446</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232.43p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234.50p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231.00p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22,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47,690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229.03p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231.50p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225.00p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23,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51,593</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230.40p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232.00p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227.00p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26,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53,442</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224.91p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231.50p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221.50p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27,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53,920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221.15p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224.00p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218.50p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28,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53,656</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226.83p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229.50p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220.50p</w:t>
            </w:r>
          </w:p>
        </w:tc>
        <w:tc>
          <w:tcPr>
            <w:tcW w:w="65" w:type="dxa"/>
            <w:tcBorders/>
            <w:vAlign w:val="bottom"/>
          </w:tcPr>
          <w:p>
            <w:pPr>
              <w:pStyle w:val="TableContents"/>
              <w:bidi w:val="0"/>
              <w:spacing w:before="0" w:after="283"/>
              <w:jc w:val="left"/>
              <w:rPr/>
            </w:pPr>
            <w:r>
              <w:rPr/>
              <w:t> </w:t>
            </w:r>
          </w:p>
        </w:tc>
      </w:tr>
      <w:tr>
        <w:trPr/>
        <w:tc>
          <w:tcPr>
            <w:tcW w:w="1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29, 2023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52,077</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8" w:type="dxa"/>
            <w:tcBorders/>
            <w:shd w:fill="CCEEFF" w:val="clear"/>
            <w:vAlign w:val="bottom"/>
          </w:tcPr>
          <w:p>
            <w:pPr>
              <w:pStyle w:val="TableContents"/>
              <w:bidi w:val="0"/>
              <w:spacing w:before="0" w:after="283"/>
              <w:jc w:val="right"/>
              <w:rPr/>
            </w:pPr>
            <w:r>
              <w:rPr/>
              <w:t>222.37p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227.00p</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218.50p</w:t>
            </w:r>
          </w:p>
        </w:tc>
        <w:tc>
          <w:tcPr>
            <w:tcW w:w="65" w:type="dxa"/>
            <w:tcBorders/>
            <w:shd w:fill="CCEEFF" w:val="clear"/>
            <w:vAlign w:val="bottom"/>
          </w:tcPr>
          <w:p>
            <w:pPr>
              <w:pStyle w:val="TableContents"/>
              <w:bidi w:val="0"/>
              <w:spacing w:before="0" w:after="283"/>
              <w:jc w:val="left"/>
              <w:rPr/>
            </w:pPr>
            <w:r>
              <w:rPr/>
              <w:t> </w:t>
            </w:r>
          </w:p>
        </w:tc>
      </w:tr>
      <w:tr>
        <w:trPr/>
        <w:tc>
          <w:tcPr>
            <w:tcW w:w="1541" w:type="dxa"/>
            <w:tcBorders/>
          </w:tcPr>
          <w:p>
            <w:pPr>
              <w:pStyle w:val="TableContents"/>
              <w:bidi w:val="0"/>
              <w:spacing w:before="0" w:after="0"/>
              <w:jc w:val="left"/>
              <w:rPr>
                <w:rFonts w:ascii="Times New Roman" w:hAnsi="Times New Roman"/>
                <w:sz w:val="20"/>
              </w:rPr>
            </w:pPr>
            <w:r>
              <w:rPr>
                <w:rFonts w:ascii="Times New Roman" w:hAnsi="Times New Roman"/>
                <w:sz w:val="20"/>
              </w:rPr>
              <w:t>June 30, 2023</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1" w:type="dxa"/>
            <w:tcBorders/>
            <w:vAlign w:val="bottom"/>
          </w:tcPr>
          <w:p>
            <w:pPr>
              <w:pStyle w:val="TableContents"/>
              <w:bidi w:val="0"/>
              <w:spacing w:before="0" w:after="283"/>
              <w:jc w:val="right"/>
              <w:rPr/>
            </w:pPr>
            <w:r>
              <w:rPr/>
              <w:t>52,348</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8" w:type="dxa"/>
            <w:tcBorders/>
            <w:vAlign w:val="bottom"/>
          </w:tcPr>
          <w:p>
            <w:pPr>
              <w:pStyle w:val="TableContents"/>
              <w:bidi w:val="0"/>
              <w:spacing w:before="0" w:after="283"/>
              <w:jc w:val="right"/>
              <w:rPr/>
            </w:pPr>
            <w:r>
              <w:rPr/>
              <w:t>219.50p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220.50p</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217.00p</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month ended June 30, 2023, the Company repurchased an aggregate of 1,072,529 Ordinary Shares. As of June 30, 2023, the Companys issued share capital was 289,468,159 shares, 12,795,330 of which were held in treasury, resulting in total voting rights in the Company of 276,672,829 shares. To view the details of the individual transactions, please paste the following URL(s) into the address bar of your browser with respect to each individual date of repurchase under the Program: </w:t>
      </w:r>
    </w:p>
    <w:p>
      <w:pPr>
        <w:pStyle w:val="TextBody"/>
        <w:bidi w:val="0"/>
        <w:spacing w:before="120" w:after="0"/>
        <w:jc w:val="left"/>
        <w:rPr>
          <w:rFonts w:ascii="Times New Roman" w:hAnsi="Times New Roman"/>
          <w:sz w:val="20"/>
        </w:rPr>
      </w:pPr>
      <w:r>
        <w:rPr>
          <w:rFonts w:ascii="Times New Roman" w:hAnsi="Times New Roman"/>
          <w:sz w:val="20"/>
        </w:rPr>
        <w:t xml:space="preserve">June 1, 2023: </w:t>
      </w:r>
      <w:r>
        <w:rPr>
          <w:rFonts w:ascii="Times New Roman" w:hAnsi="Times New Roman"/>
          <w:sz w:val="20"/>
          <w:u w:val="single"/>
        </w:rPr>
        <w:t>https://data.fca.org.uk/artefacts/NSM/RNS/4789482.html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 2023: </w:t>
      </w:r>
      <w:r>
        <w:rPr>
          <w:rFonts w:ascii="Times New Roman" w:hAnsi="Times New Roman"/>
          <w:sz w:val="20"/>
          <w:u w:val="single"/>
        </w:rPr>
        <w:t>https://data.fca.org.uk/artefacts/NSM/RNS/4790970.html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5, 2023: </w:t>
      </w:r>
      <w:r>
        <w:rPr>
          <w:rFonts w:ascii="Times New Roman" w:hAnsi="Times New Roman"/>
          <w:sz w:val="20"/>
          <w:u w:val="single"/>
        </w:rPr>
        <w:t>https://data.fca.org.uk/artefacts/NSM/RNS/4792499.html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6, 2023: </w:t>
      </w:r>
      <w:r>
        <w:rPr>
          <w:rFonts w:ascii="Times New Roman" w:hAnsi="Times New Roman"/>
          <w:sz w:val="20"/>
          <w:u w:val="single"/>
        </w:rPr>
        <w:t>https://data.fca.org.uk/artefacts/NSM/RNS/4793981.html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7, 2023: </w:t>
      </w:r>
      <w:r>
        <w:rPr>
          <w:rFonts w:ascii="Times New Roman" w:hAnsi="Times New Roman"/>
          <w:sz w:val="20"/>
          <w:u w:val="single"/>
        </w:rPr>
        <w:t>https://data.fca.org.uk/artefacts/NSM/RNS/4795454.html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8, 2023: </w:t>
      </w:r>
      <w:r>
        <w:rPr>
          <w:rFonts w:ascii="Times New Roman" w:hAnsi="Times New Roman"/>
          <w:sz w:val="20"/>
          <w:u w:val="single"/>
        </w:rPr>
        <w:t>https://data.fca.org.uk/artefacts/NSM/RNS/4797063.html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9, 2023: </w:t>
      </w:r>
      <w:r>
        <w:rPr>
          <w:rFonts w:ascii="Times New Roman" w:hAnsi="Times New Roman"/>
          <w:sz w:val="20"/>
          <w:u w:val="single"/>
        </w:rPr>
        <w:t>https://data.fca.org.uk/artefacts/NSM/RNS/4798471.html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12, 2023: </w:t>
      </w:r>
      <w:r>
        <w:rPr>
          <w:rFonts w:ascii="Times New Roman" w:hAnsi="Times New Roman"/>
          <w:sz w:val="20"/>
          <w:u w:val="single"/>
        </w:rPr>
        <w:t>https://data.fca.org.uk/artefacts/NSM/RNS/4799962.html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13, 2023: </w:t>
      </w:r>
      <w:r>
        <w:rPr>
          <w:rFonts w:ascii="Times New Roman" w:hAnsi="Times New Roman"/>
          <w:sz w:val="20"/>
          <w:u w:val="single"/>
        </w:rPr>
        <w:t>https://data.fca.org.uk/artefacts/NSM/RNS/4801421.html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14, 2023: </w:t>
      </w:r>
      <w:r>
        <w:rPr>
          <w:rFonts w:ascii="Times New Roman" w:hAnsi="Times New Roman"/>
          <w:sz w:val="20"/>
          <w:u w:val="single"/>
        </w:rPr>
        <w:t>https://data.fca.org.uk/artefacts/NSM/RNS/4802958.html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15, 2023: </w:t>
      </w:r>
      <w:r>
        <w:rPr>
          <w:rFonts w:ascii="Times New Roman" w:hAnsi="Times New Roman"/>
          <w:sz w:val="20"/>
          <w:u w:val="single"/>
        </w:rPr>
        <w:t>https://data.fca.org.uk/artefacts/NSM/RNS/4804476.html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16, 2023: </w:t>
      </w:r>
      <w:r>
        <w:rPr>
          <w:rFonts w:ascii="Times New Roman" w:hAnsi="Times New Roman"/>
          <w:sz w:val="20"/>
          <w:u w:val="single"/>
        </w:rPr>
        <w:t>https://data.fca.org.uk/artefacts/NSM/RNS/4805994.html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19, 2023: </w:t>
      </w:r>
      <w:r>
        <w:rPr>
          <w:rFonts w:ascii="Times New Roman" w:hAnsi="Times New Roman"/>
          <w:sz w:val="20"/>
          <w:u w:val="single"/>
        </w:rPr>
        <w:t>https://data.fca.org.uk/artefacts/NSM/RNS/4807445.html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20, 2023: </w:t>
      </w:r>
      <w:r>
        <w:rPr>
          <w:rFonts w:ascii="Times New Roman" w:hAnsi="Times New Roman"/>
          <w:sz w:val="20"/>
          <w:u w:val="single"/>
        </w:rPr>
        <w:t>https://data.fca.org.uk/artefacts/NSM/RNS/4808902.html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21, 2023: </w:t>
      </w:r>
      <w:r>
        <w:rPr>
          <w:rFonts w:ascii="Times New Roman" w:hAnsi="Times New Roman"/>
          <w:sz w:val="20"/>
          <w:u w:val="single"/>
        </w:rPr>
        <w:t>https://data.fca.org.uk/artefacts/NSM/RNS/4810436.html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22, 2023: </w:t>
      </w:r>
      <w:r>
        <w:rPr>
          <w:rFonts w:ascii="Times New Roman" w:hAnsi="Times New Roman"/>
          <w:sz w:val="20"/>
          <w:u w:val="single"/>
        </w:rPr>
        <w:t>https://data.fca.org.uk/artefacts/NSM/RNS/4811896.html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23, 2023: </w:t>
      </w:r>
      <w:r>
        <w:rPr>
          <w:rFonts w:ascii="Times New Roman" w:hAnsi="Times New Roman"/>
          <w:sz w:val="20"/>
          <w:u w:val="single"/>
        </w:rPr>
        <w:t>https://data.fca.org.uk/artefacts/NSM/RNS/4813370.html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26, 2023: </w:t>
      </w:r>
      <w:r>
        <w:rPr>
          <w:rFonts w:ascii="Times New Roman" w:hAnsi="Times New Roman"/>
          <w:sz w:val="20"/>
          <w:u w:val="single"/>
        </w:rPr>
        <w:t>https://data.fca.org.uk/artefacts/NSM/RNS/4814930.html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27, 2023: </w:t>
      </w:r>
      <w:r>
        <w:rPr>
          <w:rFonts w:ascii="Times New Roman" w:hAnsi="Times New Roman"/>
          <w:sz w:val="20"/>
          <w:u w:val="single"/>
        </w:rPr>
        <w:t>https://data.fca.org.uk/artefacts/NSM/RNS/4816437.html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28, 2023: </w:t>
      </w:r>
      <w:r>
        <w:rPr>
          <w:rFonts w:ascii="Times New Roman" w:hAnsi="Times New Roman"/>
          <w:sz w:val="20"/>
          <w:u w:val="single"/>
        </w:rPr>
        <w:t>https://data.fca.org.uk/artefacts/NSM/RNS/4818332.html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29, 2023: </w:t>
      </w:r>
      <w:r>
        <w:rPr>
          <w:rFonts w:ascii="Times New Roman" w:hAnsi="Times New Roman"/>
          <w:sz w:val="20"/>
          <w:u w:val="single"/>
        </w:rPr>
        <w:t>https://data.fca.org.uk/artefacts/NSM/RNS/4819933.html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June 30, 2023: </w:t>
      </w:r>
      <w:r>
        <w:rPr>
          <w:rFonts w:ascii="Times New Roman" w:hAnsi="Times New Roman"/>
          <w:sz w:val="20"/>
          <w:u w:val="single"/>
        </w:rPr>
        <w:t>https://data.fca.org.uk/artefacts/NSM/RNS/4821724.html</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71"/>
        <w:gridCol w:w="108"/>
        <w:gridCol w:w="391"/>
        <w:gridCol w:w="108"/>
        <w:gridCol w:w="349"/>
        <w:gridCol w:w="108"/>
        <w:gridCol w:w="599"/>
        <w:gridCol w:w="108"/>
        <w:gridCol w:w="4263"/>
      </w:tblGrid>
      <w:tr>
        <w:trPr/>
        <w:tc>
          <w:tcPr>
            <w:tcW w:w="417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63" w:type="dxa"/>
            <w:tcBorders/>
            <w:vAlign w:val="center"/>
          </w:tcPr>
          <w:p>
            <w:pPr>
              <w:pStyle w:val="TableContents"/>
              <w:bidi w:val="0"/>
              <w:spacing w:before="0" w:after="283"/>
              <w:jc w:val="left"/>
              <w:rPr>
                <w:sz w:val="4"/>
                <w:szCs w:val="4"/>
              </w:rPr>
            </w:pPr>
            <w:r>
              <w:rPr>
                <w:sz w:val="4"/>
                <w:szCs w:val="4"/>
              </w:rPr>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27" w:type="dxa"/>
            <w:gridSpan w:val="5"/>
            <w:tcBorders/>
          </w:tcPr>
          <w:p>
            <w:pPr>
              <w:pStyle w:val="TableContents"/>
              <w:bidi w:val="0"/>
              <w:spacing w:before="0" w:after="283"/>
              <w:jc w:val="left"/>
              <w:rPr/>
            </w:pPr>
            <w:r>
              <w:rPr/>
              <w:t>PURETECH HEALTH PLC</w:t>
            </w:r>
          </w:p>
        </w:tc>
      </w:tr>
      <w:tr>
        <w:trPr>
          <w:trHeight w:val="240" w:hRule="atLeast"/>
        </w:trPr>
        <w:tc>
          <w:tcPr>
            <w:tcW w:w="4171" w:type="dxa"/>
            <w:tcBorders/>
            <w:vAlign w:val="center"/>
          </w:tcPr>
          <w:p>
            <w:pPr>
              <w:pStyle w:val="TableContents"/>
              <w:bidi w:val="0"/>
              <w:spacing w:before="0" w:after="283"/>
              <w:jc w:val="left"/>
              <w:rPr>
                <w:sz w:val="4"/>
                <w:szCs w:val="4"/>
              </w:rPr>
            </w:pPr>
            <w:r>
              <w:rPr>
                <w:sz w:val="4"/>
                <w:szCs w:val="4"/>
              </w:rPr>
            </w:r>
          </w:p>
        </w:tc>
        <w:tc>
          <w:tcPr>
            <w:tcW w:w="499" w:type="dxa"/>
            <w:gridSpan w:val="2"/>
            <w:tcBorders/>
            <w:vAlign w:val="center"/>
          </w:tcPr>
          <w:p>
            <w:pPr>
              <w:pStyle w:val="TableContents"/>
              <w:bidi w:val="0"/>
              <w:spacing w:before="0" w:after="283"/>
              <w:jc w:val="left"/>
              <w:rPr>
                <w:sz w:val="4"/>
                <w:szCs w:val="4"/>
              </w:rPr>
            </w:pPr>
            <w:r>
              <w:rPr>
                <w:sz w:val="4"/>
                <w:szCs w:val="4"/>
              </w:rPr>
            </w:r>
          </w:p>
        </w:tc>
        <w:tc>
          <w:tcPr>
            <w:tcW w:w="457" w:type="dxa"/>
            <w:gridSpan w:val="2"/>
            <w:tcBorders/>
            <w:vAlign w:val="center"/>
          </w:tcPr>
          <w:p>
            <w:pPr>
              <w:pStyle w:val="TableContents"/>
              <w:bidi w:val="0"/>
              <w:spacing w:before="0" w:after="283"/>
              <w:jc w:val="left"/>
              <w:rPr>
                <w:sz w:val="4"/>
                <w:szCs w:val="4"/>
              </w:rPr>
            </w:pPr>
            <w:r>
              <w:rPr>
                <w:sz w:val="4"/>
                <w:szCs w:val="4"/>
              </w:rPr>
            </w:r>
          </w:p>
        </w:tc>
        <w:tc>
          <w:tcPr>
            <w:tcW w:w="5078" w:type="dxa"/>
            <w:gridSpan w:val="4"/>
            <w:tcBorders/>
            <w:vAlign w:val="center"/>
          </w:tcPr>
          <w:p>
            <w:pPr>
              <w:pStyle w:val="TableContents"/>
              <w:bidi w:val="0"/>
              <w:spacing w:before="0" w:after="283"/>
              <w:jc w:val="left"/>
              <w:rPr>
                <w:sz w:val="4"/>
                <w:szCs w:val="4"/>
              </w:rPr>
            </w:pPr>
            <w:r>
              <w:rPr>
                <w:sz w:val="4"/>
                <w:szCs w:val="4"/>
              </w:rPr>
            </w:r>
          </w:p>
        </w:tc>
      </w:tr>
      <w:tr>
        <w:trPr/>
        <w:tc>
          <w:tcPr>
            <w:tcW w:w="4171" w:type="dxa"/>
            <w:tcBorders/>
          </w:tcPr>
          <w:p>
            <w:pPr>
              <w:pStyle w:val="TableContents"/>
              <w:bidi w:val="0"/>
              <w:spacing w:before="0" w:after="283"/>
              <w:jc w:val="left"/>
              <w:rPr/>
            </w:pPr>
            <w:r>
              <w:rPr/>
              <w:t>Date: July 6, 2023</w:t>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970" w:type="dxa"/>
            <w:gridSpan w:val="3"/>
            <w:tcBorders>
              <w:bottom w:val="single" w:sz="2" w:space="0" w:color="000000"/>
            </w:tcBorders>
            <w:tcMar>
              <w:bottom w:w="28" w:type="dxa"/>
            </w:tcMar>
          </w:tcPr>
          <w:p>
            <w:pPr>
              <w:pStyle w:val="TableContents"/>
              <w:bidi w:val="0"/>
              <w:spacing w:before="0" w:after="283"/>
              <w:jc w:val="left"/>
              <w:rPr/>
            </w:pPr>
            <w:r>
              <w:rPr/>
              <w:t>/s/ Daphne Zohar</w:t>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63" w:type="dxa"/>
            <w:tcBorders/>
          </w:tcPr>
          <w:p>
            <w:pPr>
              <w:pStyle w:val="TableContents"/>
              <w:bidi w:val="0"/>
              <w:spacing w:before="0" w:after="283"/>
              <w:jc w:val="left"/>
              <w:rPr/>
            </w:pPr>
            <w:r>
              <w:rPr/>
              <w:t>Daphne Zohar</w:t>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263" w:type="dxa"/>
            <w:tcBorders/>
            <w:vAlign w:val="bottom"/>
          </w:tcPr>
          <w:p>
            <w:pPr>
              <w:pStyle w:val="TableContents"/>
              <w:bidi w:val="0"/>
              <w:spacing w:before="0" w:after="283"/>
              <w:jc w:val="left"/>
              <w:rPr/>
            </w:pPr>
            <w:r>
              <w:rPr/>
              <w:t>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853</Words>
  <Characters>5438</Characters>
  <CharactersWithSpaces>6555</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