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PureTech Health plc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 TIDE STREET, SUITE 400</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02210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GELESIS HOLDINGS, INC.</w:t>
              </w:r>
            </w:hyperlink>
            <w:r>
              <w:rPr/>
              <w:t xml:space="preserve"> [ </w:t>
            </w:r>
            <w:r>
              <w:rPr>
                <w:rFonts w:ascii="Times;serif" w:hAnsi="Times;serif"/>
                <w:color w:val="0000FF"/>
                <w:sz w:val="24"/>
                <w:highlight w:val="white"/>
              </w:rPr>
              <w:t>NYSE: GLS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3889" w:type="dxa"/>
        <w:jc w:val="left"/>
        <w:tblInd w:w="0" w:type="dxa"/>
        <w:tblCellMar>
          <w:top w:w="60" w:type="dxa"/>
          <w:left w:w="60" w:type="dxa"/>
          <w:bottom w:w="60" w:type="dxa"/>
          <w:right w:w="60" w:type="dxa"/>
        </w:tblCellMar>
      </w:tblPr>
      <w:tblGrid>
        <w:gridCol w:w="1130"/>
        <w:gridCol w:w="861"/>
        <w:gridCol w:w="891"/>
        <w:gridCol w:w="771"/>
        <w:gridCol w:w="591"/>
        <w:gridCol w:w="300"/>
        <w:gridCol w:w="1176"/>
        <w:gridCol w:w="276"/>
        <w:gridCol w:w="906"/>
        <w:gridCol w:w="801"/>
        <w:gridCol w:w="891"/>
        <w:gridCol w:w="1401"/>
        <w:gridCol w:w="966"/>
        <w:gridCol w:w="1176"/>
        <w:gridCol w:w="831"/>
        <w:gridCol w:w="921"/>
      </w:tblGrid>
      <w:tr>
        <w:trPr>
          <w:tblHeader w:val="true"/>
        </w:trPr>
        <w:tc>
          <w:tcPr>
            <w:tcW w:w="1388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4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7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Convertible Note</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0.2744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5,000,000</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07/31/2023</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4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18,634,597</w:t>
            </w:r>
            <w:r>
              <w:rPr>
                <w:rFonts w:ascii="Times;serif" w:hAnsi="Times;serif"/>
                <w:color w:val="008000"/>
                <w:position w:val="7"/>
                <w:sz w:val="16"/>
                <w:sz w:val="20"/>
                <w:highlight w:val="white"/>
              </w:rPr>
              <w:t>(2)</w:t>
            </w:r>
            <w:r>
              <w:rPr/>
              <w:t xml:space="preserve"> </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5,000,000</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PureTech Health LLC</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Convertible Note</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0.0182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2,000,000</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07/31/2023</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4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109,890,110</w:t>
            </w:r>
            <w:r>
              <w:rPr>
                <w:rFonts w:ascii="Times;serif" w:hAnsi="Times;serif"/>
                <w:color w:val="008000"/>
                <w:position w:val="7"/>
                <w:sz w:val="16"/>
                <w:sz w:val="20"/>
                <w:highlight w:val="white"/>
              </w:rPr>
              <w:t>(2)</w:t>
            </w:r>
            <w:r>
              <w:rPr/>
              <w:t xml:space="preserve"> </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2,000,000</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2,000,000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PureTech Health LLC</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Warrants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0.2744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23,688,047</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4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23,688,047</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23,688,047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PureTech Health LLC</w:t>
            </w:r>
          </w:p>
        </w:tc>
      </w:tr>
      <w:tr>
        <w:trPr/>
        <w:tc>
          <w:tcPr>
            <w:tcW w:w="113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Warrants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0.0182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192,307,692</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4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192,307,692</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11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192,307,692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PureTech Health LLC</w:t>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PureTech Health plc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 TIDE STREET, SUITE 400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02210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PureTech Health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 TIDE STREET, SUITE 400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02210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a Note and Warrant Purchase Agreement, on February 21, 2023, the Issuer issued to PureTechHealth LLC convertible notes in an aggregate principal amount of $5,000,000 as well as warrants to purchase 23,688,047 shares of common stock. At the time of issuance, both the conversion of the convertible notes and exercise of the warrants was subject to the Issuer first receiving stockholder approval for the issuance of the underlying shares of common stock. On May 1, 2023, the Issuer and the Reporting Persons amended the terms of the convertible notes and warrants to remove this restriction on conversion and exercise, respectively.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number of shares underlying the convertible notes reported herein is based on the outstanding principal amount plus accrued and unpaid interest as of April 30, 2023, and such number is subject to adjustment in accordance with the terms of the convertible notes.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warrants were issued in connection with the purchase of the convertible note purchases reported 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PURETECH HEALTH PLC By: /s/ Bharatt Chowrira, Name: Bharatt Chowrira, Title: President, Chief Business, Financial and Operating Officer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PURETECH HEALTH LLC, By: /s/ Bharatt Chowrira, Name: Bharatt Chowrira, Title: President, Chief Business, Financial and Operating Officer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2999" TargetMode="External"/><Relationship Id="rId4" Type="http://schemas.openxmlformats.org/officeDocument/2006/relationships/hyperlink" Target="http://www.sec.gov/cgi-bin/browse-edgar?action=getcompany&amp;CIK=0001805087" TargetMode="External"/><Relationship Id="rId5" Type="http://schemas.openxmlformats.org/officeDocument/2006/relationships/hyperlink" Target="http://www.sec.gov/cgi-bin/browse-edgar?action=getcompany&amp;CIK=0001782999" TargetMode="External"/><Relationship Id="rId6" Type="http://schemas.openxmlformats.org/officeDocument/2006/relationships/hyperlink" Target="http://www.sec.gov/cgi-bin/browse-edgar?action=getcompany&amp;CIK=0001727395"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863</Words>
  <CharactersWithSpaces>5550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