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6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13, 2023,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month ended January 31, 2024, the Company had the following daily purchases of its own Ordinary Shares under the Program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Volume Weighted</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140" w:type="dxa"/>
            <w:vAlign w:val="bottom"/>
            <w:vMerge w:val="restart"/>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2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Highest Price Paid</w:t>
            </w:r>
          </w:p>
        </w:tc>
        <w:tc>
          <w:tcPr>
            <w:tcW w:w="20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Lowest Price Paid</w:t>
            </w:r>
          </w:p>
        </w:tc>
        <w:tc>
          <w:tcPr>
            <w:tcW w:w="0" w:type="dxa"/>
            <w:vAlign w:val="bottom"/>
          </w:tcPr>
          <w:p>
            <w:pPr>
              <w:spacing w:after="0"/>
              <w:rPr>
                <w:sz w:val="1"/>
                <w:szCs w:val="1"/>
                <w:color w:val="auto"/>
              </w:rPr>
            </w:pPr>
          </w:p>
        </w:tc>
      </w:tr>
      <w:tr>
        <w:trPr>
          <w:trHeight w:val="193"/>
        </w:trPr>
        <w:tc>
          <w:tcPr>
            <w:tcW w:w="300" w:type="dxa"/>
            <w:vAlign w:val="bottom"/>
            <w:tcBorders>
              <w:bottom w:val="single" w:sz="8" w:color="auto"/>
            </w:tcBorders>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Ordinary Share</w:t>
            </w:r>
          </w:p>
        </w:tc>
        <w:tc>
          <w:tcPr>
            <w:tcW w:w="2200" w:type="dxa"/>
            <w:vAlign w:val="bottom"/>
            <w:gridSpan w:val="2"/>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January 2, 2024</w:t>
            </w:r>
          </w:p>
        </w:tc>
        <w:tc>
          <w:tcPr>
            <w:tcW w:w="21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12,161</w:t>
            </w:r>
          </w:p>
        </w:tc>
        <w:tc>
          <w:tcPr>
            <w:tcW w:w="100" w:type="dxa"/>
            <w:vAlign w:val="bottom"/>
          </w:tcPr>
          <w:p>
            <w:pPr>
              <w:spacing w:after="0"/>
              <w:rPr>
                <w:sz w:val="16"/>
                <w:szCs w:val="16"/>
                <w:color w:val="auto"/>
              </w:rPr>
            </w:pPr>
          </w:p>
        </w:tc>
        <w:tc>
          <w:tcPr>
            <w:tcW w:w="2100" w:type="dxa"/>
            <w:vAlign w:val="bottom"/>
            <w:tcBorders>
              <w:top w:val="single" w:sz="8" w:color="auto"/>
            </w:tcBorders>
          </w:tcPr>
          <w:p>
            <w:pPr>
              <w:ind w:left="1500"/>
              <w:spacing w:after="0" w:line="185" w:lineRule="exact"/>
              <w:rPr>
                <w:sz w:val="20"/>
                <w:szCs w:val="20"/>
                <w:color w:val="auto"/>
              </w:rPr>
            </w:pPr>
            <w:r>
              <w:rPr>
                <w:rFonts w:ascii="Times New Roman" w:cs="Times New Roman" w:eastAsia="Times New Roman" w:hAnsi="Times New Roman"/>
                <w:sz w:val="18"/>
                <w:szCs w:val="18"/>
                <w:color w:val="auto"/>
                <w:w w:val="99"/>
              </w:rPr>
              <w:t>187.73p</w:t>
            </w:r>
          </w:p>
        </w:tc>
        <w:tc>
          <w:tcPr>
            <w:tcW w:w="100" w:type="dxa"/>
            <w:vAlign w:val="bottom"/>
          </w:tcPr>
          <w:p>
            <w:pPr>
              <w:spacing w:after="0"/>
              <w:rPr>
                <w:sz w:val="16"/>
                <w:szCs w:val="16"/>
                <w:color w:val="auto"/>
              </w:rPr>
            </w:pPr>
          </w:p>
        </w:tc>
        <w:tc>
          <w:tcPr>
            <w:tcW w:w="2100" w:type="dxa"/>
            <w:vAlign w:val="bottom"/>
            <w:tcBorders>
              <w:top w:val="single" w:sz="8" w:color="auto"/>
            </w:tcBorders>
          </w:tcPr>
          <w:p>
            <w:pPr>
              <w:ind w:left="1500"/>
              <w:spacing w:after="0" w:line="185" w:lineRule="exact"/>
              <w:rPr>
                <w:sz w:val="20"/>
                <w:szCs w:val="20"/>
                <w:color w:val="auto"/>
              </w:rPr>
            </w:pPr>
            <w:r>
              <w:rPr>
                <w:rFonts w:ascii="Times New Roman" w:cs="Times New Roman" w:eastAsia="Times New Roman" w:hAnsi="Times New Roman"/>
                <w:sz w:val="18"/>
                <w:szCs w:val="18"/>
                <w:color w:val="auto"/>
                <w:w w:val="99"/>
              </w:rPr>
              <w:t>188.00p</w:t>
            </w:r>
          </w:p>
        </w:tc>
        <w:tc>
          <w:tcPr>
            <w:tcW w:w="100" w:type="dxa"/>
            <w:vAlign w:val="bottom"/>
          </w:tcPr>
          <w:p>
            <w:pPr>
              <w:spacing w:after="0"/>
              <w:rPr>
                <w:sz w:val="16"/>
                <w:szCs w:val="16"/>
                <w:color w:val="auto"/>
              </w:rPr>
            </w:pPr>
          </w:p>
        </w:tc>
        <w:tc>
          <w:tcPr>
            <w:tcW w:w="1980" w:type="dxa"/>
            <w:vAlign w:val="bottom"/>
            <w:tcBorders>
              <w:top w:val="single" w:sz="8" w:color="auto"/>
            </w:tcBorders>
          </w:tcPr>
          <w:p>
            <w:pPr>
              <w:ind w:left="1380"/>
              <w:spacing w:after="0" w:line="185" w:lineRule="exact"/>
              <w:rPr>
                <w:sz w:val="20"/>
                <w:szCs w:val="20"/>
                <w:color w:val="auto"/>
              </w:rPr>
            </w:pPr>
            <w:r>
              <w:rPr>
                <w:rFonts w:ascii="Times New Roman" w:cs="Times New Roman" w:eastAsia="Times New Roman" w:hAnsi="Times New Roman"/>
                <w:sz w:val="18"/>
                <w:szCs w:val="18"/>
                <w:color w:val="auto"/>
                <w:w w:val="99"/>
              </w:rPr>
              <w:t>186.20p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89,059</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192.77p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197.80p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186.80p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90,197</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198.27p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199.20p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196.80p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5,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47,027</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201.07p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202.50p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200.50p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8,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26,079</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206.97p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207.50p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204.00p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9,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92,828</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209.10p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210.50p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207.00p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10,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117,693</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203.71p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207.50p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199.40p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11,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116,937</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192.39p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201.00p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188.60p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12,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110,778</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192.95p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195.60p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183.00p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15,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69,294</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188.90p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190.40p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187.00p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16,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96,789</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186.84p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188.00p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185.40p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17,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75,968</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183.04p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186.20p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181.40p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18,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63,487</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189.98p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191.40p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186.40p</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19,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75,081</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188.15p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190.40p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186.40p</w:t>
            </w: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22, 2024</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76,463</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191.85p</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194.40p</w:t>
            </w:r>
          </w:p>
        </w:tc>
        <w:tc>
          <w:tcPr>
            <w:tcW w:w="20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189.60p</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75,402</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191.64p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194.80p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189.80p</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24,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35,192</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195.69p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198.00p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192.80p</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46,146</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196.93p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198.60p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194.40p</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71,561</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198.69p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201.00p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196.80p</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54,835</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196.22p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198.60p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194.00p</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30,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58,677</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198.31p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201.50p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195.20p</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2024</w:t>
            </w:r>
          </w:p>
        </w:tc>
        <w:tc>
          <w:tcPr>
            <w:tcW w:w="2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85,203</w:t>
            </w: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197.69p</w:t>
            </w:r>
          </w:p>
        </w:tc>
        <w:tc>
          <w:tcPr>
            <w:tcW w:w="21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198.40p</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196.20p</w:t>
            </w:r>
          </w:p>
        </w:tc>
      </w:tr>
    </w:tbl>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month ended January 31, 2024, the Company repurchased an aggregate of 1,586,857 Ordinary Shares. As of January 31, 2024, the Company’s issued share capital was 289,468,159 shares, 19,201,285 of which were held in treasury, resulting in total voting rights in the Company of 270,266,874 shares. To view the details of the individual transactions, please paste the following URL(s) into the address bar of your browser with respect to each individual date of repurchase under the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2024: https://data.fca.org.uk/artefacts/NSM/RNS/5020285.html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2024: https://data.fca.org.uk/artefacts/NSM/RNS/5021785.html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4, 2024: https://data.fca.org.uk/artefacts/NSM/RNS/5023116.html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5, 2024: https://data.fca.org.uk/artefacts/NSM/RNS/5024534.html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2024: https://data.fca.org.uk/artefacts/NSM/RNS/5026060.html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9, 2024: https://data.fca.org.uk/artefacts/NSM/RNS/5027519.html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2024: https://data.fca.org.uk/artefacts/NSM/RNS/5028977.html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11, 2024: https://data.fca.org.uk/artefacts/NSM/RNS/5030521.html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2024: https://data.fca.org.uk/artefacts/NSM/RNS/5031994.html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2024: https://data.fca.org.uk/artefacts/NSM/RNS/5033545.html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 https://data.fca.org.uk/artefacts/NSM/RNS/5035014.html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2024: https://data.fca.org.uk/artefacts/NSM/RNS/5036591.html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18, 2024: https://data.fca.org.uk/artefacts/NSM/RNS/5038077.html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 https://data.fca.org.uk/artefacts/NSM/RNS/5039559.html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2024: https://data.fca.org.uk/artefacts/NSM/RNS/5041268.html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2024: https://data.fca.org.uk/artefacts/NSM/RNS/5042765.html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 https://data.fca.org.uk/artefacts/NSM/RNS/5044274.html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 https://data.fca.org.uk/artefacts/NSM/RNS/5045798.html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2024: https://data.fca.org.uk/artefacts/NSM/RNS/5048616.html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2024: https://data.fca.org.uk/artefacts/NSM/RNS/5048832.html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2024: https://data.fca.org.uk/artefacts/NSM/RNS/5050375.html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2024: https://data.fca.org.uk/artefacts/NSM/RNS/5051986.html</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2024</w:t>
            </w:r>
          </w:p>
        </w:tc>
        <w:tc>
          <w:tcPr>
            <w:tcW w:w="73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191"/>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Daphne Zohar</w:t>
            </w:r>
          </w:p>
        </w:tc>
      </w:tr>
      <w:tr>
        <w:trPr>
          <w:trHeight w:val="234"/>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2024-02-05T15:35:27Z</dcterms:created>
  <dcterms:modified xsi:type="dcterms:W3CDTF">2024-02-05T15:35:27Z</dcterms:modified>
</cp:coreProperties>
</file>