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980"/>
        <w:spacing w:after="0"/>
        <w:rPr>
          <w:sz w:val="20"/>
          <w:szCs w:val="20"/>
          <w:color w:val="auto"/>
        </w:rPr>
      </w:pPr>
      <w:r>
        <w:rPr>
          <w:rFonts w:ascii="Arial" w:cs="Arial" w:eastAsia="Arial" w:hAnsi="Arial"/>
          <w:sz w:val="22"/>
          <w:szCs w:val="22"/>
          <w:b w:val="1"/>
          <w:bCs w:val="1"/>
          <w:color w:val="auto"/>
        </w:rPr>
        <w:t>Pursuant to Rule 13a-16 or 15d-16 under</w:t>
      </w:r>
    </w:p>
    <w:p>
      <w:pPr>
        <w:jc w:val="center"/>
        <w:ind w:right="-9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June, 2022</w:t>
      </w:r>
    </w:p>
    <w:p>
      <w:pPr>
        <w:spacing w:after="0" w:line="225" w:lineRule="exact"/>
        <w:rPr>
          <w:sz w:val="24"/>
          <w:szCs w:val="24"/>
          <w:color w:val="auto"/>
        </w:rPr>
      </w:pPr>
    </w:p>
    <w:p>
      <w:pPr>
        <w:ind w:left="4100"/>
        <w:spacing w:after="0"/>
        <w:rPr>
          <w:sz w:val="20"/>
          <w:szCs w:val="20"/>
          <w:color w:val="auto"/>
        </w:rPr>
      </w:pPr>
      <w:r>
        <w:rPr>
          <w:rFonts w:ascii="Arial" w:cs="Arial" w:eastAsia="Arial" w:hAnsi="Arial"/>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PURETECH HEALTH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6 Tide Street, Suite 400</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20"/>
        <w:spacing w:after="0" w:line="207" w:lineRule="exact"/>
        <w:tabs>
          <w:tab w:leader="none" w:pos="58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On May 9, 2022, PureTech Health plc (LSE: PRTC, Nasdaq: PRTC) (the “Company”) announced the commencement of a $50 million share repurchase program (the “Program”) of its ordinary shares of one pence each (“Ordinary Shares”). The Company plans to execute the Program in two equal tranches. In respect of the first tranche, PureTech entered into an irrevocable non-discretionary instruction with Jefferies International Limited (“Jefferies”) in relation to the purchase by Jefferies of Ordinary Shares for an aggregate consideration (excluding expenses) of no greater than</w:t>
      </w:r>
    </w:p>
    <w:p>
      <w:pPr>
        <w:spacing w:after="0" w:line="1"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$25 million and the simultaneous on-sale of such Ordinary Shares by Jefferies to PureTech. Jefferies makes its trading decisions in relation to the Ordinary Shares independently of, and uninfluenced by, the Company. Purchases may continue during any close period to which the Company is subject. Any purchase of Ordinary Shares under the first tranche of the Program are carried out on the London Stock Exchange and any other UK recognized investment exchange which may be agreed, in accordance with pre-set parameters and in accordance with, and subject to limits, including those limits related to daily volume and price, prescribed by the Company’s general authority to repurchase Ordinary Shares granted by its shareholders at its most recent annual general meeting on May 27, 2021, Chapter 12 of the Financial Conduct Authority’s UK Listing Rules, Article 5(1) of Regulation (EU) No. 596/2014 (as incorporated into UK domestic law by the European Union (Withdrawal) Act 2018) and Commission Delegated Regulation (EU) 2016/1052 (as incorporated into UK domestic law by the European Union (Withdrawal) Act 2018). All Ordinary Shares repurchased under the Program will be held in treasury.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During the month ended June 30, 2022, the Company had the following daily purchases of its own Ordinary Shares under the Program through Jefferies: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6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3"/>
              </w:rPr>
              <w:t>Ordinary Shares</w:t>
            </w:r>
          </w:p>
        </w:tc>
        <w:tc>
          <w:tcPr>
            <w:tcW w:w="17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7"/>
              </w:rPr>
              <w:t>Volume Weighted</w:t>
            </w:r>
          </w:p>
        </w:tc>
        <w:tc>
          <w:tcPr>
            <w:tcW w:w="1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4460" w:type="dxa"/>
            <w:vAlign w:val="bottom"/>
            <w:vMerge w:val="restart"/>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7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2"/>
              </w:rPr>
              <w:t>Average Price Paid</w:t>
            </w:r>
          </w:p>
        </w:tc>
        <w:tc>
          <w:tcPr>
            <w:tcW w:w="17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1"/>
              </w:rPr>
              <w:t>Highest Price Paid</w:t>
            </w:r>
          </w:p>
        </w:tc>
        <w:tc>
          <w:tcPr>
            <w:tcW w:w="11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1"/>
              </w:rPr>
              <w:t>Lowest Price Paid</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4460" w:type="dxa"/>
            <w:vAlign w:val="bottom"/>
            <w:vMerge w:val="continue"/>
          </w:tcPr>
          <w:p>
            <w:pPr>
              <w:spacing w:after="0"/>
              <w:rPr>
                <w:sz w:val="15"/>
                <w:szCs w:val="15"/>
                <w:color w:val="auto"/>
              </w:rPr>
            </w:pPr>
          </w:p>
        </w:tc>
        <w:tc>
          <w:tcPr>
            <w:tcW w:w="1600" w:type="dxa"/>
            <w:vAlign w:val="bottom"/>
            <w:gridSpan w:val="2"/>
          </w:tcPr>
          <w:p>
            <w:pPr>
              <w:jc w:val="right"/>
              <w:ind w:right="680"/>
              <w:spacing w:after="0" w:line="158" w:lineRule="exact"/>
              <w:rPr>
                <w:sz w:val="20"/>
                <w:szCs w:val="20"/>
                <w:color w:val="auto"/>
              </w:rPr>
            </w:pPr>
            <w:r>
              <w:rPr>
                <w:rFonts w:ascii="Arial" w:cs="Arial" w:eastAsia="Arial" w:hAnsi="Arial"/>
                <w:sz w:val="14"/>
                <w:szCs w:val="14"/>
                <w:b w:val="1"/>
                <w:bCs w:val="1"/>
                <w:color w:val="auto"/>
              </w:rPr>
              <w:t>Repurchased</w:t>
            </w:r>
          </w:p>
        </w:tc>
        <w:tc>
          <w:tcPr>
            <w:tcW w:w="178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w w:val="94"/>
              </w:rPr>
              <w:t>per Ordinary Share</w:t>
            </w:r>
          </w:p>
        </w:tc>
        <w:tc>
          <w:tcPr>
            <w:tcW w:w="1700" w:type="dxa"/>
            <w:vAlign w:val="bottom"/>
            <w:gridSpan w:val="2"/>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7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June 1, 2022</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50,156</w:t>
            </w:r>
          </w:p>
        </w:tc>
        <w:tc>
          <w:tcPr>
            <w:tcW w:w="56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179.20p</w:t>
            </w:r>
          </w:p>
        </w:tc>
        <w:tc>
          <w:tcPr>
            <w:tcW w:w="5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181.00p</w:t>
            </w:r>
          </w:p>
        </w:tc>
        <w:tc>
          <w:tcPr>
            <w:tcW w:w="56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175.20p</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June 6, 2022</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46,779</w:t>
            </w:r>
          </w:p>
        </w:tc>
        <w:tc>
          <w:tcPr>
            <w:tcW w:w="1780" w:type="dxa"/>
            <w:vAlign w:val="bottom"/>
            <w:gridSpan w:val="2"/>
          </w:tcPr>
          <w:p>
            <w:pPr>
              <w:jc w:val="right"/>
              <w:ind w:right="560"/>
              <w:spacing w:after="0"/>
              <w:rPr>
                <w:sz w:val="20"/>
                <w:szCs w:val="20"/>
                <w:color w:val="auto"/>
              </w:rPr>
            </w:pPr>
            <w:r>
              <w:rPr>
                <w:rFonts w:ascii="Arial" w:cs="Arial" w:eastAsia="Arial" w:hAnsi="Arial"/>
                <w:sz w:val="18"/>
                <w:szCs w:val="18"/>
                <w:color w:val="auto"/>
              </w:rPr>
              <w:t>181.60p</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187.00p</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177.40p</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7, 2022</w:t>
            </w: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46,350</w:t>
            </w:r>
          </w:p>
        </w:tc>
        <w:tc>
          <w:tcPr>
            <w:tcW w:w="1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175.99p</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180.40p</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173.00p</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June 8, 2022</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44,526</w:t>
            </w:r>
          </w:p>
        </w:tc>
        <w:tc>
          <w:tcPr>
            <w:tcW w:w="1780" w:type="dxa"/>
            <w:vAlign w:val="bottom"/>
            <w:gridSpan w:val="2"/>
          </w:tcPr>
          <w:p>
            <w:pPr>
              <w:jc w:val="right"/>
              <w:ind w:right="560"/>
              <w:spacing w:after="0"/>
              <w:rPr>
                <w:sz w:val="20"/>
                <w:szCs w:val="20"/>
                <w:color w:val="auto"/>
              </w:rPr>
            </w:pPr>
            <w:r>
              <w:rPr>
                <w:rFonts w:ascii="Arial" w:cs="Arial" w:eastAsia="Arial" w:hAnsi="Arial"/>
                <w:sz w:val="18"/>
                <w:szCs w:val="18"/>
                <w:color w:val="auto"/>
              </w:rPr>
              <w:t>181.47p</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185.80p</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175.60p</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9, 2022</w:t>
            </w: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46,602</w:t>
            </w:r>
          </w:p>
        </w:tc>
        <w:tc>
          <w:tcPr>
            <w:tcW w:w="1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181.14p</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184.20p</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178.20p</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June 10, 2022</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46,606</w:t>
            </w:r>
          </w:p>
        </w:tc>
        <w:tc>
          <w:tcPr>
            <w:tcW w:w="1780" w:type="dxa"/>
            <w:vAlign w:val="bottom"/>
            <w:gridSpan w:val="2"/>
          </w:tcPr>
          <w:p>
            <w:pPr>
              <w:jc w:val="right"/>
              <w:ind w:right="560"/>
              <w:spacing w:after="0"/>
              <w:rPr>
                <w:sz w:val="20"/>
                <w:szCs w:val="20"/>
                <w:color w:val="auto"/>
              </w:rPr>
            </w:pPr>
            <w:r>
              <w:rPr>
                <w:rFonts w:ascii="Arial" w:cs="Arial" w:eastAsia="Arial" w:hAnsi="Arial"/>
                <w:sz w:val="18"/>
                <w:szCs w:val="18"/>
                <w:color w:val="auto"/>
              </w:rPr>
              <w:t>173.05p</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178.40p</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169.80p</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13, 2022</w:t>
            </w: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50,508</w:t>
            </w:r>
          </w:p>
        </w:tc>
        <w:tc>
          <w:tcPr>
            <w:tcW w:w="1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163.77p</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166.00p</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161.00p</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June 14, 2022</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56,309</w:t>
            </w:r>
          </w:p>
        </w:tc>
        <w:tc>
          <w:tcPr>
            <w:tcW w:w="1780" w:type="dxa"/>
            <w:vAlign w:val="bottom"/>
            <w:gridSpan w:val="2"/>
          </w:tcPr>
          <w:p>
            <w:pPr>
              <w:jc w:val="right"/>
              <w:ind w:right="560"/>
              <w:spacing w:after="0"/>
              <w:rPr>
                <w:sz w:val="20"/>
                <w:szCs w:val="20"/>
                <w:color w:val="auto"/>
              </w:rPr>
            </w:pPr>
            <w:r>
              <w:rPr>
                <w:rFonts w:ascii="Arial" w:cs="Arial" w:eastAsia="Arial" w:hAnsi="Arial"/>
                <w:sz w:val="18"/>
                <w:szCs w:val="18"/>
                <w:color w:val="auto"/>
              </w:rPr>
              <w:t>159.90p</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164.20p</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155.80p</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15, 2022</w:t>
            </w: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58,827</w:t>
            </w:r>
          </w:p>
        </w:tc>
        <w:tc>
          <w:tcPr>
            <w:tcW w:w="1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157.18p</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159.20p</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155.60p</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June 16, 2022</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61,103</w:t>
            </w:r>
          </w:p>
        </w:tc>
        <w:tc>
          <w:tcPr>
            <w:tcW w:w="1780" w:type="dxa"/>
            <w:vAlign w:val="bottom"/>
            <w:gridSpan w:val="2"/>
          </w:tcPr>
          <w:p>
            <w:pPr>
              <w:jc w:val="right"/>
              <w:ind w:right="560"/>
              <w:spacing w:after="0"/>
              <w:rPr>
                <w:sz w:val="20"/>
                <w:szCs w:val="20"/>
                <w:color w:val="auto"/>
              </w:rPr>
            </w:pPr>
            <w:r>
              <w:rPr>
                <w:rFonts w:ascii="Arial" w:cs="Arial" w:eastAsia="Arial" w:hAnsi="Arial"/>
                <w:sz w:val="18"/>
                <w:szCs w:val="18"/>
                <w:color w:val="auto"/>
              </w:rPr>
              <w:t>153.34p</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157.20p</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150.00p</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17, 2022</w:t>
            </w: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65,330</w:t>
            </w:r>
          </w:p>
        </w:tc>
        <w:tc>
          <w:tcPr>
            <w:tcW w:w="1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156.03p</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160.40p</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150.00p</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June 20, 2022</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43,188</w:t>
            </w:r>
          </w:p>
        </w:tc>
        <w:tc>
          <w:tcPr>
            <w:tcW w:w="1780" w:type="dxa"/>
            <w:vAlign w:val="bottom"/>
            <w:gridSpan w:val="2"/>
          </w:tcPr>
          <w:p>
            <w:pPr>
              <w:jc w:val="right"/>
              <w:ind w:right="560"/>
              <w:spacing w:after="0"/>
              <w:rPr>
                <w:sz w:val="20"/>
                <w:szCs w:val="20"/>
                <w:color w:val="auto"/>
              </w:rPr>
            </w:pPr>
            <w:r>
              <w:rPr>
                <w:rFonts w:ascii="Arial" w:cs="Arial" w:eastAsia="Arial" w:hAnsi="Arial"/>
                <w:sz w:val="18"/>
                <w:szCs w:val="18"/>
                <w:color w:val="auto"/>
              </w:rPr>
              <w:t>157.13p</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163.00p</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149.40p</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21, 2022</w:t>
            </w: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35,858</w:t>
            </w:r>
          </w:p>
        </w:tc>
        <w:tc>
          <w:tcPr>
            <w:tcW w:w="1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162.79p</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162.80p</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162.20p</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June 22, 2022</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108,930</w:t>
            </w:r>
          </w:p>
        </w:tc>
        <w:tc>
          <w:tcPr>
            <w:tcW w:w="1780" w:type="dxa"/>
            <w:vAlign w:val="bottom"/>
            <w:gridSpan w:val="2"/>
          </w:tcPr>
          <w:p>
            <w:pPr>
              <w:jc w:val="right"/>
              <w:ind w:right="560"/>
              <w:spacing w:after="0"/>
              <w:rPr>
                <w:sz w:val="20"/>
                <w:szCs w:val="20"/>
                <w:color w:val="auto"/>
              </w:rPr>
            </w:pPr>
            <w:r>
              <w:rPr>
                <w:rFonts w:ascii="Arial" w:cs="Arial" w:eastAsia="Arial" w:hAnsi="Arial"/>
                <w:sz w:val="18"/>
                <w:szCs w:val="18"/>
                <w:color w:val="auto"/>
              </w:rPr>
              <w:t>159.72p</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164.00p</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156.60p</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23, 2022</w:t>
            </w: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120,037</w:t>
            </w:r>
          </w:p>
        </w:tc>
        <w:tc>
          <w:tcPr>
            <w:tcW w:w="1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161.35p</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163.80p</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159.00p</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June 24, 2022</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79,353</w:t>
            </w:r>
          </w:p>
        </w:tc>
        <w:tc>
          <w:tcPr>
            <w:tcW w:w="1780" w:type="dxa"/>
            <w:vAlign w:val="bottom"/>
            <w:gridSpan w:val="2"/>
          </w:tcPr>
          <w:p>
            <w:pPr>
              <w:jc w:val="right"/>
              <w:ind w:right="560"/>
              <w:spacing w:after="0"/>
              <w:rPr>
                <w:sz w:val="20"/>
                <w:szCs w:val="20"/>
                <w:color w:val="auto"/>
              </w:rPr>
            </w:pPr>
            <w:r>
              <w:rPr>
                <w:rFonts w:ascii="Arial" w:cs="Arial" w:eastAsia="Arial" w:hAnsi="Arial"/>
                <w:sz w:val="18"/>
                <w:szCs w:val="18"/>
                <w:color w:val="auto"/>
              </w:rPr>
              <w:t>166.16p</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166.60p</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164.40p</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27, 2022</w:t>
            </w: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30,770</w:t>
            </w:r>
          </w:p>
        </w:tc>
        <w:tc>
          <w:tcPr>
            <w:tcW w:w="1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170.25p</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170.40p</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166.00p</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June 28, 2022</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3,432</w:t>
            </w:r>
          </w:p>
        </w:tc>
        <w:tc>
          <w:tcPr>
            <w:tcW w:w="1780" w:type="dxa"/>
            <w:vAlign w:val="bottom"/>
            <w:gridSpan w:val="2"/>
          </w:tcPr>
          <w:p>
            <w:pPr>
              <w:jc w:val="right"/>
              <w:ind w:right="560"/>
              <w:spacing w:after="0"/>
              <w:rPr>
                <w:sz w:val="20"/>
                <w:szCs w:val="20"/>
                <w:color w:val="auto"/>
              </w:rPr>
            </w:pPr>
            <w:r>
              <w:rPr>
                <w:rFonts w:ascii="Arial" w:cs="Arial" w:eastAsia="Arial" w:hAnsi="Arial"/>
                <w:sz w:val="18"/>
                <w:szCs w:val="18"/>
                <w:color w:val="auto"/>
              </w:rPr>
              <w:t>171.60p</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171.60p</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171.60p</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29, 2022</w:t>
            </w:r>
          </w:p>
        </w:tc>
        <w:tc>
          <w:tcPr>
            <w:tcW w:w="16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131,279</w:t>
            </w:r>
          </w:p>
        </w:tc>
        <w:tc>
          <w:tcPr>
            <w:tcW w:w="1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168.16p</w:t>
            </w:r>
          </w:p>
        </w:tc>
        <w:tc>
          <w:tcPr>
            <w:tcW w:w="17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171.40p</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165.20p</w:t>
            </w:r>
          </w:p>
        </w:tc>
        <w:tc>
          <w:tcPr>
            <w:tcW w:w="0" w:type="dxa"/>
            <w:vAlign w:val="bottom"/>
          </w:tcPr>
          <w:p>
            <w:pPr>
              <w:spacing w:after="0"/>
              <w:rPr>
                <w:sz w:val="1"/>
                <w:szCs w:val="1"/>
                <w:color w:val="auto"/>
              </w:rPr>
            </w:pPr>
          </w:p>
        </w:tc>
      </w:tr>
      <w:tr>
        <w:trPr>
          <w:trHeight w:val="230"/>
        </w:trPr>
        <w:tc>
          <w:tcPr>
            <w:tcW w:w="4760" w:type="dxa"/>
            <w:vAlign w:val="bottom"/>
            <w:gridSpan w:val="2"/>
          </w:tcPr>
          <w:p>
            <w:pPr>
              <w:spacing w:after="0"/>
              <w:rPr>
                <w:sz w:val="20"/>
                <w:szCs w:val="20"/>
                <w:color w:val="auto"/>
              </w:rPr>
            </w:pPr>
            <w:r>
              <w:rPr>
                <w:rFonts w:ascii="Arial" w:cs="Arial" w:eastAsia="Arial" w:hAnsi="Arial"/>
                <w:sz w:val="18"/>
                <w:szCs w:val="18"/>
                <w:color w:val="auto"/>
              </w:rPr>
              <w:t>June 30, 2022</w:t>
            </w:r>
          </w:p>
        </w:tc>
        <w:tc>
          <w:tcPr>
            <w:tcW w:w="1600" w:type="dxa"/>
            <w:vAlign w:val="bottom"/>
            <w:gridSpan w:val="2"/>
          </w:tcPr>
          <w:p>
            <w:pPr>
              <w:jc w:val="right"/>
              <w:ind w:right="560"/>
              <w:spacing w:after="0"/>
              <w:rPr>
                <w:sz w:val="20"/>
                <w:szCs w:val="20"/>
                <w:color w:val="auto"/>
              </w:rPr>
            </w:pPr>
            <w:r>
              <w:rPr>
                <w:rFonts w:ascii="Arial" w:cs="Arial" w:eastAsia="Arial" w:hAnsi="Arial"/>
                <w:sz w:val="18"/>
                <w:szCs w:val="18"/>
                <w:color w:val="auto"/>
              </w:rPr>
              <w:t>141,210</w:t>
            </w:r>
          </w:p>
        </w:tc>
        <w:tc>
          <w:tcPr>
            <w:tcW w:w="1780" w:type="dxa"/>
            <w:vAlign w:val="bottom"/>
            <w:gridSpan w:val="2"/>
          </w:tcPr>
          <w:p>
            <w:pPr>
              <w:jc w:val="right"/>
              <w:ind w:right="560"/>
              <w:spacing w:after="0"/>
              <w:rPr>
                <w:sz w:val="20"/>
                <w:szCs w:val="20"/>
                <w:color w:val="auto"/>
              </w:rPr>
            </w:pPr>
            <w:r>
              <w:rPr>
                <w:rFonts w:ascii="Arial" w:cs="Arial" w:eastAsia="Arial" w:hAnsi="Arial"/>
                <w:sz w:val="18"/>
                <w:szCs w:val="18"/>
                <w:color w:val="auto"/>
              </w:rPr>
              <w:t>170.72p</w:t>
            </w:r>
          </w:p>
        </w:tc>
        <w:tc>
          <w:tcPr>
            <w:tcW w:w="1700" w:type="dxa"/>
            <w:vAlign w:val="bottom"/>
            <w:gridSpan w:val="2"/>
          </w:tcPr>
          <w:p>
            <w:pPr>
              <w:jc w:val="right"/>
              <w:ind w:right="560"/>
              <w:spacing w:after="0"/>
              <w:rPr>
                <w:sz w:val="20"/>
                <w:szCs w:val="20"/>
                <w:color w:val="auto"/>
              </w:rPr>
            </w:pPr>
            <w:r>
              <w:rPr>
                <w:rFonts w:ascii="Arial" w:cs="Arial" w:eastAsia="Arial" w:hAnsi="Arial"/>
                <w:sz w:val="18"/>
                <w:szCs w:val="18"/>
                <w:color w:val="auto"/>
              </w:rPr>
              <w:t>173.80p</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167.20p</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During the month ended June 30, 2022, the Company repurchased an aggregate of 1,267,153 Ordinary Shares. As of June 30, 2022, the Company’s issued share capital was 288,611,120 shares, 2,010,269 of which were held in treasury, resulting in total voting rights in the Company of 286,600,851 shares. To view the details of the individual transactions, please paste the following URL(s) into the address bar of your browser with respect to each individual date of repurchase under the Program: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June 1, 2022: https://data.fca.org.uk/artefacts/NSM/RNS/4394137.html</w:t>
      </w:r>
    </w:p>
    <w:p>
      <w:pPr>
        <w:sectPr>
          <w:pgSz w:w="11900" w:h="16838" w:orient="portrait"/>
          <w:cols w:equalWidth="0" w:num="1">
            <w:col w:w="11020"/>
          </w:cols>
          <w:pgMar w:left="440" w:top="270" w:right="439" w:bottom="1440" w:gutter="0" w:footer="0" w:header="0"/>
        </w:sectPr>
      </w:pPr>
    </w:p>
    <w:bookmarkStart w:id="2" w:name="page3"/>
    <w:bookmarkEnd w:id="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June 6, 2022: https://data.fca.org.uk/artefacts/NSM/RNS/4394394.html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7, 2022: https://data.fca.org.uk/artefacts/NSM/RNS/4395829.html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8, 2022: https://data.fca.org.uk/artefacts/NSM/RNS/4397643.html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9, 2022: https://data.fca.org.uk/artefacts/NSM/RNS/4399229.html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10, 2022: https://data.fca.org.uk/artefacts/NSM/RNS/4400772.html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13, 2022: https://data.fca.org.uk/artefacts/NSM/RNS/4402580.html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14, 2022: https://data.fca.org.uk/artefacts/NSM/RNS/4404024.html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15, 2022: https://data.fca.org.uk/artefacts/NSM/RNS/4405896.html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16, 2022: https://data.fca.org.uk/artefacts/NSM/RNS/4407371.html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17, 2022: https://data.fca.org.uk/artefacts/NSM/RNS/4409107.html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20, 2022: https://data.fca.org.uk/artefacts/NSM/RNS/4410787.html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21, 2022: https://data.fca.org.uk/artefacts/NSM/RNS/4412925.html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22, 2022: https://data.fca.org.uk/artefacts/NSM/RNS/4414074.html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23, 2022: https://data.fca.org.uk/artefacts/NSM/RNS/4415721.html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24, 2022: https://data.fca.org.uk/artefacts/NSM/RNS/4417224.html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27, 2022: https://data.fca.org.uk/artefacts/NSM/RNS/4418886.html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28, 2022: https://data.fca.org.uk/artefacts/NSM/RNS/4420771.html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29, 2022: https://data.fca.org.uk/artefacts/NSM/RNS/4422525.html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June 30, 2022: https://data.fca.org.uk/artefacts/NSM/RNS/4424516.html</w:t>
      </w:r>
    </w:p>
    <w:p>
      <w:pPr>
        <w:sectPr>
          <w:pgSz w:w="11900" w:h="16838" w:orient="portrait"/>
          <w:cols w:equalWidth="0" w:num="1">
            <w:col w:w="10019"/>
          </w:cols>
          <w:pgMar w:left="440" w:top="274"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40" w:type="dxa"/>
            <w:vAlign w:val="bottom"/>
          </w:tcPr>
          <w:p>
            <w:pPr>
              <w:spacing w:after="0"/>
              <w:rPr>
                <w:sz w:val="20"/>
                <w:szCs w:val="20"/>
                <w:color w:val="auto"/>
              </w:rPr>
            </w:pPr>
          </w:p>
        </w:tc>
        <w:tc>
          <w:tcPr>
            <w:tcW w:w="7880" w:type="dxa"/>
            <w:vAlign w:val="bottom"/>
            <w:gridSpan w:val="3"/>
          </w:tcPr>
          <w:p>
            <w:pPr>
              <w:ind w:left="1820"/>
              <w:spacing w:after="0"/>
              <w:rPr>
                <w:sz w:val="20"/>
                <w:szCs w:val="20"/>
                <w:color w:val="auto"/>
              </w:rPr>
            </w:pPr>
            <w:r>
              <w:rPr>
                <w:rFonts w:ascii="Arial" w:cs="Arial" w:eastAsia="Arial" w:hAnsi="Arial"/>
                <w:sz w:val="18"/>
                <w:szCs w:val="18"/>
                <w:color w:val="auto"/>
              </w:rPr>
              <w:t>PURETECH HEALTH PLC</w:t>
            </w:r>
          </w:p>
        </w:tc>
      </w:tr>
      <w:tr>
        <w:trPr>
          <w:trHeight w:val="432"/>
        </w:trPr>
        <w:tc>
          <w:tcPr>
            <w:tcW w:w="3140" w:type="dxa"/>
            <w:vAlign w:val="bottom"/>
          </w:tcPr>
          <w:p>
            <w:pPr>
              <w:spacing w:after="0"/>
              <w:rPr>
                <w:sz w:val="20"/>
                <w:szCs w:val="20"/>
                <w:color w:val="auto"/>
              </w:rPr>
            </w:pPr>
            <w:r>
              <w:rPr>
                <w:rFonts w:ascii="Arial" w:cs="Arial" w:eastAsia="Arial" w:hAnsi="Arial"/>
                <w:sz w:val="18"/>
                <w:szCs w:val="18"/>
                <w:color w:val="auto"/>
              </w:rPr>
              <w:t>Date: July 5, 2022</w:t>
            </w:r>
          </w:p>
        </w:tc>
        <w:tc>
          <w:tcPr>
            <w:tcW w:w="7880" w:type="dxa"/>
            <w:vAlign w:val="bottom"/>
            <w:gridSpan w:val="3"/>
          </w:tcPr>
          <w:p>
            <w:pPr>
              <w:ind w:left="1820"/>
              <w:spacing w:after="0"/>
              <w:rPr>
                <w:sz w:val="20"/>
                <w:szCs w:val="20"/>
                <w:color w:val="auto"/>
              </w:rPr>
            </w:pPr>
            <w:r>
              <w:rPr>
                <w:rFonts w:ascii="Arial" w:cs="Arial" w:eastAsia="Arial" w:hAnsi="Arial"/>
                <w:sz w:val="18"/>
                <w:szCs w:val="18"/>
                <w:color w:val="auto"/>
              </w:rPr>
              <w:t>By:    /s/ Daphne Zohar</w:t>
            </w:r>
          </w:p>
        </w:tc>
      </w:tr>
      <w:tr>
        <w:trPr>
          <w:trHeight w:val="195"/>
        </w:trPr>
        <w:tc>
          <w:tcPr>
            <w:tcW w:w="31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Name:</w:t>
            </w:r>
          </w:p>
        </w:tc>
        <w:tc>
          <w:tcPr>
            <w:tcW w:w="4940" w:type="dxa"/>
            <w:vAlign w:val="bottom"/>
            <w:tcBorders>
              <w:top w:val="single" w:sz="8" w:color="auto"/>
            </w:tcBorders>
          </w:tcPr>
          <w:p>
            <w:pPr>
              <w:ind w:left="80"/>
              <w:spacing w:after="0" w:line="195" w:lineRule="exact"/>
              <w:rPr>
                <w:sz w:val="20"/>
                <w:szCs w:val="20"/>
                <w:color w:val="auto"/>
              </w:rPr>
            </w:pPr>
            <w:r>
              <w:rPr>
                <w:rFonts w:ascii="Arial" w:cs="Arial" w:eastAsia="Arial" w:hAnsi="Arial"/>
                <w:sz w:val="18"/>
                <w:szCs w:val="18"/>
                <w:color w:val="auto"/>
              </w:rPr>
              <w:t>Daphne Zohar</w:t>
            </w:r>
          </w:p>
        </w:tc>
      </w:tr>
      <w:tr>
        <w:trPr>
          <w:trHeight w:val="230"/>
        </w:trPr>
        <w:tc>
          <w:tcPr>
            <w:tcW w:w="31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8"/>
                <w:szCs w:val="18"/>
                <w:color w:val="auto"/>
              </w:rPr>
              <w:t>Title:</w:t>
            </w:r>
          </w:p>
        </w:tc>
        <w:tc>
          <w:tcPr>
            <w:tcW w:w="494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2022-07-05T15:34:11Z</dcterms:created>
  <dcterms:modified xsi:type="dcterms:W3CDTF">2022-07-05T15:34:11Z</dcterms:modified>
</cp:coreProperties>
</file>