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February 10,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4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10, 2021, PureTech Health plc (LSE: PRTC, Nasdaq: PRTC) issued a press release announcing its sale of 1,000,000 shares of common stock of its Founded Entity, Karuna Therapeutics, Inc. The press release is furnished herewith as Exhibit 99.1 and is incorporated by reference herein.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ind w:left="660" w:right="12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dated February 10, 2021, “PureTech Receives Approximately $118 Million from Sale of Minority Portion of Founded Entity</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Shares”</w:t>
        </w:r>
      </w:hyperlink>
    </w:p>
    <w:p>
      <w:pPr>
        <w:sectPr>
          <w:pgSz w:w="11900" w:h="16838" w:orient="portrait"/>
          <w:cols w:equalWidth="0" w:num="1">
            <w:col w:w="10780"/>
          </w:cols>
          <w:pgMar w:left="440" w:top="270" w:right="6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Daphne Zohar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February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Receives Approximately $118 Million from Sale of Portion of Founded Entity Shares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PureTech Health plc (LSE: PRTC, Nasdaq: PRTC) (“PureTech” or the “Company”), a clinical-stage biotherapeutics company dedicated to discovering, developing and commercializing highly differentiated medicines for devastating diseases, announced that it has sold 1 million shares of its Founded Entity, Karuna Therapeutics (“Karuna,” Nasdaq: KRTX), through a block trade executed by Morgan Stanley &amp; Co. LLC for cash consideration of approximately $118 million (the “Transaction”). PureTech intends to use the proceeds from the Transaction to further expand and advance its clinical-stage Wholly Owned Pipeline. PureTech intends to update financial guidance in connection with the issuance of its 2020 Annual Report and Accounts later this year.</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Following the Transaction, PureTech continues to hold 2,406,564 shares of Karuna common stock, which is equal to approximately 9.0% of Karuna’s outstanding shares as of October 31, 2020. PureTech also has a right to royalty payments on net sales of any commercialized product covered by a license granted by PureTech to Karuna.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was conducted pursuant to the authority granted by the Company’s shareholders announced by the Company on August 26,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Karuna Therapeutics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Karuna Therapeutics is a clinical-stage biopharmaceutical company driven to create and deliver transformative medicines for people living with psychiatric and neurological conditions. Karuna understands there is a need for differentiated and more effective treatments that can help patients navigate the challenges presented by these severe and disabling disorders. Utilizing its extensive knowledge of neuroscience, Karuna is harnessing the untapped potential of the brain in pursuit of novel pathways to develop medicines that make meaningful differences in peoples’ lives. For more information, please visit www.karunatx.com.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as of the date of PureTech’s most recently filed Registration Statement on Form 20-F, was comprised of 24 products and product candidates, including two that have received FDA clearance and European marketing authorization. All of the underlying programs and platforms that resulted in this pipeline of product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statements that are or may be forward-looking statements, including statements that relate to the company’s future prospects, developments, future plans, planned use of proceeds and strategies. The forward-looking statements are based on current expectations and are subject to known and unknown risks and uncertainties that could cause actual results, performance and achievements to differ materially from current expectations, including, but not limited to, those risks and uncertainties described in the risk factors included in PureTech Health plc’s registration statement on Form 20-F, declared effective by the Securities and Exchange Commission on November 12, 2020 and other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402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200"/>
        </w:trPr>
        <w:tc>
          <w:tcPr>
            <w:tcW w:w="2920" w:type="dxa"/>
            <w:vAlign w:val="bottom"/>
          </w:tcPr>
          <w:p>
            <w:pPr>
              <w:spacing w:after="0"/>
              <w:rPr>
                <w:sz w:val="20"/>
                <w:szCs w:val="20"/>
                <w:color w:val="auto"/>
              </w:rPr>
            </w:pPr>
            <w:r>
              <w:rPr>
                <w:rFonts w:ascii="Arial" w:cs="Arial" w:eastAsia="Arial" w:hAnsi="Arial"/>
                <w:sz w:val="14"/>
                <w:szCs w:val="14"/>
                <w:b w:val="1"/>
                <w:bCs w:val="1"/>
                <w:color w:val="auto"/>
              </w:rPr>
              <w:t>Investors</w:t>
            </w:r>
          </w:p>
        </w:tc>
        <w:tc>
          <w:tcPr>
            <w:tcW w:w="4020" w:type="dxa"/>
            <w:vAlign w:val="bottom"/>
          </w:tcPr>
          <w:p>
            <w:pPr>
              <w:ind w:left="1060"/>
              <w:spacing w:after="0"/>
              <w:rPr>
                <w:sz w:val="20"/>
                <w:szCs w:val="20"/>
                <w:color w:val="auto"/>
              </w:rPr>
            </w:pPr>
            <w:r>
              <w:rPr>
                <w:rFonts w:ascii="Arial" w:cs="Arial" w:eastAsia="Arial" w:hAnsi="Arial"/>
                <w:sz w:val="14"/>
                <w:szCs w:val="14"/>
                <w:b w:val="1"/>
                <w:bCs w:val="1"/>
                <w:color w:val="auto"/>
              </w:rPr>
              <w:t>EU media</w:t>
            </w:r>
          </w:p>
        </w:tc>
        <w:tc>
          <w:tcPr>
            <w:tcW w:w="3740" w:type="dxa"/>
            <w:vAlign w:val="bottom"/>
          </w:tcPr>
          <w:p>
            <w:pPr>
              <w:ind w:left="680"/>
              <w:spacing w:after="0"/>
              <w:rPr>
                <w:sz w:val="20"/>
                <w:szCs w:val="20"/>
                <w:color w:val="auto"/>
              </w:rPr>
            </w:pPr>
            <w:r>
              <w:rPr>
                <w:rFonts w:ascii="Arial" w:cs="Arial" w:eastAsia="Arial" w:hAnsi="Arial"/>
                <w:sz w:val="14"/>
                <w:szCs w:val="14"/>
                <w:b w:val="1"/>
                <w:bCs w:val="1"/>
                <w:color w:val="auto"/>
              </w:rPr>
              <w:t>U.S. media</w:t>
            </w:r>
          </w:p>
        </w:tc>
      </w:tr>
      <w:tr>
        <w:trPr>
          <w:trHeight w:val="295"/>
        </w:trPr>
        <w:tc>
          <w:tcPr>
            <w:tcW w:w="2920" w:type="dxa"/>
            <w:vAlign w:val="bottom"/>
          </w:tcPr>
          <w:p>
            <w:pPr>
              <w:spacing w:after="0"/>
              <w:rPr>
                <w:sz w:val="20"/>
                <w:szCs w:val="20"/>
                <w:color w:val="auto"/>
              </w:rPr>
            </w:pPr>
            <w:r>
              <w:rPr>
                <w:rFonts w:ascii="Arial" w:cs="Arial" w:eastAsia="Arial" w:hAnsi="Arial"/>
                <w:sz w:val="18"/>
                <w:szCs w:val="18"/>
                <w:color w:val="auto"/>
              </w:rPr>
              <w:t>Allison Mead Talbot</w:t>
            </w:r>
          </w:p>
        </w:tc>
        <w:tc>
          <w:tcPr>
            <w:tcW w:w="4020" w:type="dxa"/>
            <w:vAlign w:val="bottom"/>
          </w:tcPr>
          <w:p>
            <w:pPr>
              <w:ind w:left="1060"/>
              <w:spacing w:after="0"/>
              <w:rPr>
                <w:sz w:val="20"/>
                <w:szCs w:val="20"/>
                <w:color w:val="auto"/>
              </w:rPr>
            </w:pPr>
            <w:r>
              <w:rPr>
                <w:rFonts w:ascii="Arial" w:cs="Arial" w:eastAsia="Arial" w:hAnsi="Arial"/>
                <w:sz w:val="18"/>
                <w:szCs w:val="18"/>
                <w:color w:val="auto"/>
              </w:rPr>
              <w:t>Ben Atwell, Rob Winder</w:t>
            </w:r>
          </w:p>
        </w:tc>
        <w:tc>
          <w:tcPr>
            <w:tcW w:w="3740" w:type="dxa"/>
            <w:vAlign w:val="bottom"/>
          </w:tcPr>
          <w:p>
            <w:pPr>
              <w:ind w:left="680"/>
              <w:spacing w:after="0"/>
              <w:rPr>
                <w:sz w:val="20"/>
                <w:szCs w:val="20"/>
                <w:color w:val="auto"/>
              </w:rPr>
            </w:pPr>
            <w:r>
              <w:rPr>
                <w:rFonts w:ascii="Arial" w:cs="Arial" w:eastAsia="Arial" w:hAnsi="Arial"/>
                <w:sz w:val="18"/>
                <w:szCs w:val="18"/>
                <w:color w:val="auto"/>
              </w:rPr>
              <w:t>Stephanie Simon</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+1 617 651 3156</w:t>
            </w:r>
          </w:p>
        </w:tc>
        <w:tc>
          <w:tcPr>
            <w:tcW w:w="4020" w:type="dxa"/>
            <w:vAlign w:val="bottom"/>
          </w:tcPr>
          <w:p>
            <w:pPr>
              <w:ind w:left="1060"/>
              <w:spacing w:after="0"/>
              <w:rPr>
                <w:sz w:val="20"/>
                <w:szCs w:val="20"/>
                <w:color w:val="auto"/>
              </w:rPr>
            </w:pPr>
            <w:r>
              <w:rPr>
                <w:rFonts w:ascii="Arial" w:cs="Arial" w:eastAsia="Arial" w:hAnsi="Arial"/>
                <w:sz w:val="18"/>
                <w:szCs w:val="18"/>
                <w:color w:val="auto"/>
              </w:rPr>
              <w:t>+44 (0) 20 3727 1000</w:t>
            </w:r>
          </w:p>
        </w:tc>
        <w:tc>
          <w:tcPr>
            <w:tcW w:w="3740" w:type="dxa"/>
            <w:vAlign w:val="bottom"/>
          </w:tcPr>
          <w:p>
            <w:pPr>
              <w:ind w:left="680"/>
              <w:spacing w:after="0"/>
              <w:rPr>
                <w:sz w:val="20"/>
                <w:szCs w:val="20"/>
                <w:color w:val="auto"/>
              </w:rPr>
            </w:pPr>
            <w:r>
              <w:rPr>
                <w:rFonts w:ascii="Arial" w:cs="Arial" w:eastAsia="Arial" w:hAnsi="Arial"/>
                <w:sz w:val="18"/>
                <w:szCs w:val="18"/>
                <w:color w:val="auto"/>
              </w:rPr>
              <w:t>+1 617 581 9333</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amt@puretechhealth.com</w:t>
            </w:r>
          </w:p>
        </w:tc>
        <w:tc>
          <w:tcPr>
            <w:tcW w:w="4020" w:type="dxa"/>
            <w:vAlign w:val="bottom"/>
          </w:tcPr>
          <w:p>
            <w:pPr>
              <w:ind w:left="1060"/>
              <w:spacing w:after="0"/>
              <w:rPr>
                <w:sz w:val="20"/>
                <w:szCs w:val="20"/>
                <w:color w:val="auto"/>
              </w:rPr>
            </w:pPr>
            <w:r>
              <w:rPr>
                <w:rFonts w:ascii="Arial" w:cs="Arial" w:eastAsia="Arial" w:hAnsi="Arial"/>
                <w:sz w:val="18"/>
                <w:szCs w:val="18"/>
                <w:color w:val="auto"/>
              </w:rPr>
              <w:t>ben.atwell@FTIconsulting.com</w:t>
            </w:r>
          </w:p>
        </w:tc>
        <w:tc>
          <w:tcPr>
            <w:tcW w:w="3740" w:type="dxa"/>
            <w:vAlign w:val="bottom"/>
          </w:tcPr>
          <w:p>
            <w:pPr>
              <w:ind w:left="680"/>
              <w:spacing w:after="0"/>
              <w:rPr>
                <w:sz w:val="20"/>
                <w:szCs w:val="20"/>
                <w:color w:val="auto"/>
              </w:rPr>
            </w:pPr>
            <w:r>
              <w:rPr>
                <w:rFonts w:ascii="Arial" w:cs="Arial" w:eastAsia="Arial" w:hAnsi="Arial"/>
                <w:sz w:val="18"/>
                <w:szCs w:val="18"/>
                <w:color w:val="auto"/>
                <w:w w:val="89"/>
              </w:rPr>
              <w:t>stephanie@tenbridgecommunications.com</w:t>
            </w:r>
          </w:p>
        </w:tc>
      </w:tr>
    </w:tbl>
    <w:p>
      <w:pPr>
        <w:spacing w:after="0" w:line="1" w:lineRule="exact"/>
        <w:rPr>
          <w:sz w:val="20"/>
          <w:szCs w:val="20"/>
          <w:color w:val="auto"/>
        </w:rPr>
      </w:pP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2021-02-10T05:24:06Z</dcterms:created>
  <dcterms:modified xsi:type="dcterms:W3CDTF">2021-02-10T05:24:06Z</dcterms:modified>
</cp:coreProperties>
</file>