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12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125460"/>
                    </a:xfrm>
                    <a:prstGeom prst="rect">
                      <a:avLst/>
                    </a:prstGeom>
                    <a:noFill/>
                  </pic:spPr>
                </pic:pic>
              </a:graphicData>
            </a:graphic>
          </wp:anchor>
        </w:drawing>
      </w:r>
    </w:p>
    <w:p>
      <w:pPr>
        <w:sectPr>
          <w:pgSz w:w="11900" w:h="1689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PureTech Health plc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6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Akili,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AKLI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94"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 TIDE STREET, SUITE 400</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02210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506" w:lineRule="exact"/>
        <w:rPr>
          <w:sz w:val="24"/>
          <w:szCs w:val="24"/>
          <w:color w:val="auto"/>
        </w:rPr>
      </w:pPr>
    </w:p>
    <w:p>
      <w:pPr>
        <w:sectPr>
          <w:pgSz w:w="11900" w:h="16894"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12,527,477</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7"/>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7,536,549</w:t>
            </w:r>
          </w:p>
        </w:tc>
        <w:tc>
          <w:tcPr>
            <w:tcW w:w="6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2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PureTech Health plc</w:t>
              </w:r>
            </w:hyperlink>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6 TIDE STREET, SUITE 400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02210</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2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PureTech Health LLC</w:t>
              </w:r>
            </w:hyperlink>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6 TIDE STREET, SUITE 400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02210</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PureTech Health LLC is the record holder of all of the securities reported in this Form 3. PureTech Health plc is the sole member of PureTech Health LLC, and has the power to direct the voting and disposition of securities held by PureTech Health LLC.</w:t>
      </w:r>
    </w:p>
    <w:p>
      <w:pPr>
        <w:spacing w:after="0" w:line="17"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Earnout Share represents a contingent right to receive one share of Common Stock. The Earnout Shares shall vest and be released upon the satisfaction of certain share price vesting conditions (the "Earnout Conditions") as follows: (i) if, at any time prior to August 19, 2027 (the "Earnout Period") the volume-weighted average price ("VWAP") of the Common Stock equals or exceeds $15.00 per share for any 20 trading days within a 30-trading day period, 1/3 of the Earnout Shares shall vest; (ii) if, at any time during the</w:t>
      </w:r>
    </w:p>
    <w:p>
      <w:pPr>
        <w:sectPr>
          <w:pgSz w:w="11900" w:h="16894" w:orient="portrait"/>
          <w:cols w:equalWidth="0" w:num="1">
            <w:col w:w="10940"/>
          </w:cols>
          <w:pgMar w:left="480" w:top="230" w:right="479" w:bottom="0" w:gutter="0" w:footer="0" w:header="0"/>
          <w:type w:val="continuous"/>
        </w:sectPr>
      </w:pPr>
    </w:p>
    <w:bookmarkStart w:id="1" w:name="page2"/>
    <w:bookmarkEnd w:id="1"/>
    <w:p>
      <w:pPr>
        <w:jc w:val="both"/>
        <w:ind w:right="100"/>
        <w:spacing w:after="0" w:line="244" w:lineRule="auto"/>
        <w:rPr>
          <w:sz w:val="20"/>
          <w:szCs w:val="20"/>
          <w:color w:val="auto"/>
        </w:rPr>
      </w:pPr>
      <w:r>
        <w:rPr>
          <w:rFonts w:ascii="Times New Roman" w:cs="Times New Roman" w:eastAsia="Times New Roman" w:hAnsi="Times New Roman"/>
          <w:sz w:val="15"/>
          <w:szCs w:val="15"/>
          <w:color w:val="008000"/>
        </w:rPr>
        <w:t>Earnout Period, the VWAP of the Common Stock equals or exceeds $20.00 per share for any 20 trading days within a 30-trading day period, 1/3 of the Earnout Shares shall vest; and (iii) if, at any time during the Earnout Period, the VWAP of the Common Stock equals or exceeds $30.00 per share for any 20 trading days within a 30-trading day period, 1/3 of the Earnout Shares shall vest.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ind w:left="6540"/>
        <w:spacing w:after="0" w:line="218" w:lineRule="auto"/>
        <w:rPr>
          <w:sz w:val="20"/>
          <w:szCs w:val="20"/>
          <w:color w:val="auto"/>
        </w:rPr>
      </w:pPr>
      <w:r>
        <w:rPr>
          <w:rFonts w:ascii="Times New Roman" w:cs="Times New Roman" w:eastAsia="Times New Roman" w:hAnsi="Times New Roman"/>
          <w:sz w:val="20"/>
          <w:szCs w:val="20"/>
          <w:color w:val="0000FF"/>
        </w:rPr>
        <w:t xml:space="preserve">PureTech Health LLC, By: </w:t>
      </w:r>
      <w:r>
        <w:rPr>
          <w:rFonts w:ascii="Times New Roman" w:cs="Times New Roman" w:eastAsia="Times New Roman" w:hAnsi="Times New Roman"/>
          <w:sz w:val="39"/>
          <w:szCs w:val="39"/>
          <w:color w:val="0000FF"/>
          <w:vertAlign w:val="subscript"/>
        </w:rPr>
        <w:t>08/29/2022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-31750</wp:posOffset>
            </wp:positionV>
            <wp:extent cx="13328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3328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8597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85979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PureTech Health plc, By: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08/29/2022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/s/ Daphne Zohar</w:t>
            </w:r>
          </w:p>
        </w:tc>
        <w:tc>
          <w:tcPr>
            <w:tcW w:w="2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0" Type="http://schemas.openxmlformats.org/officeDocument/2006/relationships/hyperlink" Target="http://www.sec.gov/cgi-bin/browse-edgar?action=getcompany&amp;CIK=0001782999" TargetMode="External"/><Relationship Id="rId11" Type="http://schemas.openxmlformats.org/officeDocument/2006/relationships/hyperlink" Target="http://www.sec.gov/cgi-bin/browse-edgar?action=getcompany&amp;CIK=0001850266" TargetMode="External"/><Relationship Id="rId12" Type="http://schemas.openxmlformats.org/officeDocument/2006/relationships/hyperlink" Target="http://www.sec.gov/cgi-bin/browse-edgar?action=getcompany&amp;CIK=00017273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2022-08-29T20:34:19Z</dcterms:created>
  <dcterms:modified xsi:type="dcterms:W3CDTF">2022-08-29T20:34:19Z</dcterms:modified>
</cp:coreProperties>
</file>