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98" w:lineRule="exact"/>
        <w:rPr>
          <w:rFonts w:ascii="Times New Roman" w:cs="Times New Roman" w:eastAsia="Times New Roman" w:hAnsi="Times New Roman"/>
          <w:sz w:val="22"/>
          <w:szCs w:val="22"/>
          <w:color w:val="auto"/>
        </w:rPr>
      </w:pPr>
    </w:p>
    <w:p>
      <w:pPr>
        <w:jc w:val="both"/>
        <w:ind w:left="60" w:right="9420" w:firstLine="2"/>
        <w:spacing w:after="0" w:line="360"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13d-1(c) [X] Rule 13d-1(d)</w:t>
      </w:r>
    </w:p>
    <w:p>
      <w:pPr>
        <w:spacing w:after="0" w:line="114"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G7297M101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64,525,251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64,525,251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64,525,251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680" w:hanging="547"/>
        <w:spacing w:after="0" w:line="286" w:lineRule="auto"/>
        <w:tabs>
          <w:tab w:leader="none" w:pos="1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PureTech Health PLC</w:t>
      </w:r>
    </w:p>
    <w:p>
      <w:pPr>
        <w:spacing w:after="0" w:line="45" w:lineRule="exact"/>
        <w:rPr>
          <w:rFonts w:ascii="Times New Roman" w:cs="Times New Roman" w:eastAsia="Times New Roman" w:hAnsi="Times New Roman"/>
          <w:sz w:val="21"/>
          <w:szCs w:val="21"/>
          <w:b w:val="1"/>
          <w:bCs w:val="1"/>
          <w:color w:val="auto"/>
        </w:rPr>
      </w:pPr>
    </w:p>
    <w:p>
      <w:pPr>
        <w:ind w:left="1460" w:right="5260" w:hanging="547"/>
        <w:spacing w:after="0" w:line="262" w:lineRule="auto"/>
        <w:tabs>
          <w:tab w:leader="none" w:pos="1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 Tide Street, Boston, MA 02210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460" w:right="704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460" w:right="416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1460" w:right="85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460" w:right="7180" w:hanging="547"/>
        <w:spacing w:after="0" w:line="262" w:lineRule="auto"/>
        <w:tabs>
          <w:tab w:leader="none" w:pos="1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460" w:right="810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G7297M101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220"/>
            <w:col w:w="88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460" w:hanging="547"/>
        <w:spacing w:after="0"/>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460" w:right="6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64,525,251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23.7%</w:t>
      </w:r>
    </w:p>
    <w:p>
      <w:pPr>
        <w:spacing w:after="0" w:line="125" w:lineRule="exact"/>
        <w:rPr>
          <w:rFonts w:ascii="Times New Roman" w:cs="Times New Roman" w:eastAsia="Times New Roman" w:hAnsi="Times New Roman"/>
          <w:sz w:val="22"/>
          <w:szCs w:val="22"/>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200" w:right="780" w:hanging="747"/>
        <w:spacing w:after="0" w:line="185" w:lineRule="auto"/>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64,525,251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64,525,251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380" w:space="280"/>
            <w:col w:w="43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Invesco Asset Management Limited is a subsidiary of Invesco Ltd. and it advises the Invesco UK Equity High Income Fund (UK) which owns 15.98% of the security reported herein. Invesco Asset Management Limited is a subsidiary of Invesco Ltd. and it advises the Invesco UK Equity Income Fund (UK) which owns 7.27%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6"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12,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2024-02-12T15:56:25Z</dcterms:created>
  <dcterms:modified xsi:type="dcterms:W3CDTF">2024-02-12T15:56:25Z</dcterms:modified>
</cp:coreProperties>
</file>