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Pursuant to Rule 13a-16 or 15d-16</w:t>
      </w:r>
    </w:p>
    <w:p>
      <w:pPr>
        <w:jc w:val="center"/>
        <w:ind w:right="-98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September, 2022</w:t>
      </w:r>
    </w:p>
    <w:p>
      <w:pPr>
        <w:spacing w:after="0" w:line="225"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PURETECH HEALTH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6 Tide Street, Suite 400</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517" w:right="1440" w:bottom="1440" w:gutter="0" w:footer="0" w:header="0"/>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May 9, 2022, PureTech Health plc (LSE: PRTC, Nasdaq: PRTC) (the “Company”) announced the commencement of a $50 million share repurchase program (the “Program”) of its ordinary shares of one pence each (“Ordinary Shares”). The Company plans to execute the Program in two equal tranches. In respect of the first tranche, PureTech entered into an irrevocable non-discretionary instruction with Jefferies International Limited (“Jefferies”) in relation to the purchase by Jefferies of Ordinary Shares for an aggregate consideration (excluding expenses) of no greater than</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$25 million and the simultaneous on-sale of such Ordinary Shares by Jefferies to PureTech. Jefferies makes its trading decisions in relation to the Ordinary Shares independently of, and uninfluenced by, the Company. Purchases may continue during any close period to which the Company is subject. Any purchase of Ordinary Shares under the first tranche of the Program are carried out on the London Stock Exchange and any other UK recognized investment exchange which may be agreed, in accordance with pre-set parameters and in accordance with, and subject to limits, including those limits related to daily volume and price, prescribed by the Company’s general authority to repurchase Ordinary Shares granted by its shareholders at its most recent annual general meeting on May 27, 2021, Chapter 12 of the Financial Conduct Authority’s UK Listing Rules, Article 5(1) of Regulation (EU) No. 596/2014 (as incorporated into UK domestic law by the European Union (Withdrawal) Act 2018) and Commission Delegated Regulation (EU) 2016/1052 (as incorporated into UK domestic law by the European Union (Withdrawal) Act 2018). All Ordinary Shares repurchased under the Program will be held in treasury.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During the month ended September 30, 2022, the Company had the following daily purchases of its own Ordinary Shares under the Program through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Jefferies:</w:t>
      </w:r>
    </w:p>
    <w:p>
      <w:pPr>
        <w:spacing w:after="0" w:line="21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9"/>
              </w:rPr>
              <w:t>Ordinary</w:t>
            </w:r>
          </w:p>
        </w:tc>
        <w:tc>
          <w:tcPr>
            <w:tcW w:w="18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5"/>
              </w:rPr>
              <w:t>Volume Weighted</w:t>
            </w: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3600" w:type="dxa"/>
            <w:vAlign w:val="bottom"/>
            <w:vMerge w:val="restart"/>
          </w:tcPr>
          <w:p>
            <w:pPr>
              <w:spacing w:after="0"/>
              <w:rPr>
                <w:sz w:val="12"/>
                <w:szCs w:val="12"/>
                <w:color w:val="auto"/>
              </w:rPr>
            </w:pPr>
          </w:p>
        </w:tc>
        <w:tc>
          <w:tcPr>
            <w:tcW w:w="14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Shares</w:t>
            </w:r>
          </w:p>
        </w:tc>
        <w:tc>
          <w:tcPr>
            <w:tcW w:w="184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92"/>
              </w:rPr>
              <w:t>Average Price Paid</w:t>
            </w:r>
          </w:p>
        </w:tc>
        <w:tc>
          <w:tcPr>
            <w:tcW w:w="17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w w:val="91"/>
              </w:rPr>
              <w:t>Highest Price Paid</w:t>
            </w:r>
          </w:p>
        </w:tc>
        <w:tc>
          <w:tcPr>
            <w:tcW w:w="116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0"/>
              </w:rPr>
              <w:t>Lowest Price Paid</w:t>
            </w: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vMerge w:val="continue"/>
          </w:tcPr>
          <w:p>
            <w:pPr>
              <w:spacing w:after="0"/>
              <w:rPr>
                <w:sz w:val="15"/>
                <w:szCs w:val="15"/>
                <w:color w:val="auto"/>
              </w:rPr>
            </w:pPr>
          </w:p>
        </w:tc>
        <w:tc>
          <w:tcPr>
            <w:tcW w:w="3600" w:type="dxa"/>
            <w:vAlign w:val="bottom"/>
            <w:vMerge w:val="continue"/>
          </w:tcPr>
          <w:p>
            <w:pPr>
              <w:spacing w:after="0"/>
              <w:rPr>
                <w:sz w:val="15"/>
                <w:szCs w:val="15"/>
                <w:color w:val="auto"/>
              </w:rPr>
            </w:pPr>
          </w:p>
        </w:tc>
        <w:tc>
          <w:tcPr>
            <w:tcW w:w="1440" w:type="dxa"/>
            <w:vAlign w:val="bottom"/>
            <w:gridSpan w:val="2"/>
          </w:tcPr>
          <w:p>
            <w:pPr>
              <w:jc w:val="center"/>
              <w:ind w:right="620"/>
              <w:spacing w:after="0" w:line="158" w:lineRule="exact"/>
              <w:rPr>
                <w:sz w:val="20"/>
                <w:szCs w:val="20"/>
                <w:color w:val="auto"/>
              </w:rPr>
            </w:pPr>
            <w:r>
              <w:rPr>
                <w:rFonts w:ascii="Arial" w:cs="Arial" w:eastAsia="Arial" w:hAnsi="Arial"/>
                <w:sz w:val="14"/>
                <w:szCs w:val="14"/>
                <w:b w:val="1"/>
                <w:bCs w:val="1"/>
                <w:color w:val="auto"/>
                <w:w w:val="92"/>
              </w:rPr>
              <w:t>Repurchased</w:t>
            </w:r>
          </w:p>
        </w:tc>
        <w:tc>
          <w:tcPr>
            <w:tcW w:w="1840" w:type="dxa"/>
            <w:vAlign w:val="bottom"/>
            <w:gridSpan w:val="2"/>
          </w:tcPr>
          <w:p>
            <w:pPr>
              <w:jc w:val="right"/>
              <w:ind w:right="620"/>
              <w:spacing w:after="0" w:line="158" w:lineRule="exact"/>
              <w:rPr>
                <w:sz w:val="20"/>
                <w:szCs w:val="20"/>
                <w:color w:val="auto"/>
              </w:rPr>
            </w:pPr>
            <w:r>
              <w:rPr>
                <w:rFonts w:ascii="Arial" w:cs="Arial" w:eastAsia="Arial" w:hAnsi="Arial"/>
                <w:sz w:val="14"/>
                <w:szCs w:val="14"/>
                <w:b w:val="1"/>
                <w:bCs w:val="1"/>
                <w:color w:val="auto"/>
                <w:w w:val="94"/>
              </w:rPr>
              <w:t>per Ordinary Share</w:t>
            </w:r>
          </w:p>
        </w:tc>
        <w:tc>
          <w:tcPr>
            <w:tcW w:w="178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September 1, 2022</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76,166</w:t>
            </w:r>
          </w:p>
        </w:tc>
        <w:tc>
          <w:tcPr>
            <w:tcW w:w="6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241.09p</w:t>
            </w:r>
          </w:p>
        </w:tc>
        <w:tc>
          <w:tcPr>
            <w:tcW w:w="6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247.00p</w:t>
            </w:r>
          </w:p>
        </w:tc>
        <w:tc>
          <w:tcPr>
            <w:tcW w:w="6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238.50p</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September 2, 2022</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79,605</w:t>
            </w:r>
          </w:p>
        </w:tc>
        <w:tc>
          <w:tcPr>
            <w:tcW w:w="1840" w:type="dxa"/>
            <w:vAlign w:val="bottom"/>
            <w:gridSpan w:val="2"/>
          </w:tcPr>
          <w:p>
            <w:pPr>
              <w:jc w:val="right"/>
              <w:ind w:right="620"/>
              <w:spacing w:after="0"/>
              <w:rPr>
                <w:sz w:val="20"/>
                <w:szCs w:val="20"/>
                <w:color w:val="auto"/>
              </w:rPr>
            </w:pPr>
            <w:r>
              <w:rPr>
                <w:rFonts w:ascii="Arial" w:cs="Arial" w:eastAsia="Arial" w:hAnsi="Arial"/>
                <w:sz w:val="18"/>
                <w:szCs w:val="18"/>
                <w:color w:val="auto"/>
              </w:rPr>
              <w:t>250.70p</w:t>
            </w:r>
          </w:p>
        </w:tc>
        <w:tc>
          <w:tcPr>
            <w:tcW w:w="1780" w:type="dxa"/>
            <w:vAlign w:val="bottom"/>
            <w:gridSpan w:val="2"/>
          </w:tcPr>
          <w:p>
            <w:pPr>
              <w:jc w:val="right"/>
              <w:ind w:right="620"/>
              <w:spacing w:after="0"/>
              <w:rPr>
                <w:sz w:val="20"/>
                <w:szCs w:val="20"/>
                <w:color w:val="auto"/>
              </w:rPr>
            </w:pPr>
            <w:r>
              <w:rPr>
                <w:rFonts w:ascii="Arial" w:cs="Arial" w:eastAsia="Arial" w:hAnsi="Arial"/>
                <w:sz w:val="18"/>
                <w:szCs w:val="18"/>
                <w:color w:val="auto"/>
              </w:rPr>
              <w:t>252.50p</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243.00p</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5, 2022</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63,930</w:t>
            </w:r>
          </w:p>
        </w:tc>
        <w:tc>
          <w:tcPr>
            <w:tcW w:w="18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247.14p</w:t>
            </w:r>
          </w:p>
        </w:tc>
        <w:tc>
          <w:tcPr>
            <w:tcW w:w="17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249.50p</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244.00p</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September 6, 2022</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78,602</w:t>
            </w:r>
          </w:p>
        </w:tc>
        <w:tc>
          <w:tcPr>
            <w:tcW w:w="1840" w:type="dxa"/>
            <w:vAlign w:val="bottom"/>
            <w:gridSpan w:val="2"/>
          </w:tcPr>
          <w:p>
            <w:pPr>
              <w:jc w:val="right"/>
              <w:ind w:right="620"/>
              <w:spacing w:after="0"/>
              <w:rPr>
                <w:sz w:val="20"/>
                <w:szCs w:val="20"/>
                <w:color w:val="auto"/>
              </w:rPr>
            </w:pPr>
            <w:r>
              <w:rPr>
                <w:rFonts w:ascii="Arial" w:cs="Arial" w:eastAsia="Arial" w:hAnsi="Arial"/>
                <w:sz w:val="18"/>
                <w:szCs w:val="18"/>
                <w:color w:val="auto"/>
              </w:rPr>
              <w:t>250.52p</w:t>
            </w:r>
          </w:p>
        </w:tc>
        <w:tc>
          <w:tcPr>
            <w:tcW w:w="1780" w:type="dxa"/>
            <w:vAlign w:val="bottom"/>
            <w:gridSpan w:val="2"/>
          </w:tcPr>
          <w:p>
            <w:pPr>
              <w:jc w:val="right"/>
              <w:ind w:right="620"/>
              <w:spacing w:after="0"/>
              <w:rPr>
                <w:sz w:val="20"/>
                <w:szCs w:val="20"/>
                <w:color w:val="auto"/>
              </w:rPr>
            </w:pPr>
            <w:r>
              <w:rPr>
                <w:rFonts w:ascii="Arial" w:cs="Arial" w:eastAsia="Arial" w:hAnsi="Arial"/>
                <w:sz w:val="18"/>
                <w:szCs w:val="18"/>
                <w:color w:val="auto"/>
              </w:rPr>
              <w:t>252.00p</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247.00p</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7, 2022</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76,605</w:t>
            </w:r>
          </w:p>
        </w:tc>
        <w:tc>
          <w:tcPr>
            <w:tcW w:w="18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248.69p</w:t>
            </w:r>
          </w:p>
        </w:tc>
        <w:tc>
          <w:tcPr>
            <w:tcW w:w="17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250.50p</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247.50p</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September 8, 2022</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76,523</w:t>
            </w:r>
          </w:p>
        </w:tc>
        <w:tc>
          <w:tcPr>
            <w:tcW w:w="1840" w:type="dxa"/>
            <w:vAlign w:val="bottom"/>
            <w:gridSpan w:val="2"/>
          </w:tcPr>
          <w:p>
            <w:pPr>
              <w:jc w:val="right"/>
              <w:ind w:right="620"/>
              <w:spacing w:after="0"/>
              <w:rPr>
                <w:sz w:val="20"/>
                <w:szCs w:val="20"/>
                <w:color w:val="auto"/>
              </w:rPr>
            </w:pPr>
            <w:r>
              <w:rPr>
                <w:rFonts w:ascii="Arial" w:cs="Arial" w:eastAsia="Arial" w:hAnsi="Arial"/>
                <w:sz w:val="18"/>
                <w:szCs w:val="18"/>
                <w:color w:val="auto"/>
              </w:rPr>
              <w:t>247.96p</w:t>
            </w:r>
          </w:p>
        </w:tc>
        <w:tc>
          <w:tcPr>
            <w:tcW w:w="1780" w:type="dxa"/>
            <w:vAlign w:val="bottom"/>
            <w:gridSpan w:val="2"/>
          </w:tcPr>
          <w:p>
            <w:pPr>
              <w:jc w:val="right"/>
              <w:ind w:right="620"/>
              <w:spacing w:after="0"/>
              <w:rPr>
                <w:sz w:val="20"/>
                <w:szCs w:val="20"/>
                <w:color w:val="auto"/>
              </w:rPr>
            </w:pPr>
            <w:r>
              <w:rPr>
                <w:rFonts w:ascii="Arial" w:cs="Arial" w:eastAsia="Arial" w:hAnsi="Arial"/>
                <w:sz w:val="18"/>
                <w:szCs w:val="18"/>
                <w:color w:val="auto"/>
              </w:rPr>
              <w:t>249.50p</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245.50p</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9, 2022</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73,751</w:t>
            </w:r>
          </w:p>
        </w:tc>
        <w:tc>
          <w:tcPr>
            <w:tcW w:w="18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251.04p</w:t>
            </w:r>
          </w:p>
        </w:tc>
        <w:tc>
          <w:tcPr>
            <w:tcW w:w="17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254.00p</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249.00p</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September 12, 2022</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72,152</w:t>
            </w:r>
          </w:p>
        </w:tc>
        <w:tc>
          <w:tcPr>
            <w:tcW w:w="1840" w:type="dxa"/>
            <w:vAlign w:val="bottom"/>
            <w:gridSpan w:val="2"/>
          </w:tcPr>
          <w:p>
            <w:pPr>
              <w:jc w:val="right"/>
              <w:ind w:right="620"/>
              <w:spacing w:after="0"/>
              <w:rPr>
                <w:sz w:val="20"/>
                <w:szCs w:val="20"/>
                <w:color w:val="auto"/>
              </w:rPr>
            </w:pPr>
            <w:r>
              <w:rPr>
                <w:rFonts w:ascii="Arial" w:cs="Arial" w:eastAsia="Arial" w:hAnsi="Arial"/>
                <w:sz w:val="18"/>
                <w:szCs w:val="18"/>
                <w:color w:val="auto"/>
              </w:rPr>
              <w:t>250.75p</w:t>
            </w:r>
          </w:p>
        </w:tc>
        <w:tc>
          <w:tcPr>
            <w:tcW w:w="1780" w:type="dxa"/>
            <w:vAlign w:val="bottom"/>
            <w:gridSpan w:val="2"/>
          </w:tcPr>
          <w:p>
            <w:pPr>
              <w:jc w:val="right"/>
              <w:ind w:right="620"/>
              <w:spacing w:after="0"/>
              <w:rPr>
                <w:sz w:val="20"/>
                <w:szCs w:val="20"/>
                <w:color w:val="auto"/>
              </w:rPr>
            </w:pPr>
            <w:r>
              <w:rPr>
                <w:rFonts w:ascii="Arial" w:cs="Arial" w:eastAsia="Arial" w:hAnsi="Arial"/>
                <w:sz w:val="18"/>
                <w:szCs w:val="18"/>
                <w:color w:val="auto"/>
              </w:rPr>
              <w:t>253.50p</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247.00p</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13, 2022</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73,665</w:t>
            </w:r>
          </w:p>
        </w:tc>
        <w:tc>
          <w:tcPr>
            <w:tcW w:w="18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251.43p</w:t>
            </w:r>
          </w:p>
        </w:tc>
        <w:tc>
          <w:tcPr>
            <w:tcW w:w="17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255.00p</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244.00p</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September 14, 2022</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68,271</w:t>
            </w:r>
          </w:p>
        </w:tc>
        <w:tc>
          <w:tcPr>
            <w:tcW w:w="1840" w:type="dxa"/>
            <w:vAlign w:val="bottom"/>
            <w:gridSpan w:val="2"/>
          </w:tcPr>
          <w:p>
            <w:pPr>
              <w:jc w:val="right"/>
              <w:ind w:right="620"/>
              <w:spacing w:after="0"/>
              <w:rPr>
                <w:sz w:val="20"/>
                <w:szCs w:val="20"/>
                <w:color w:val="auto"/>
              </w:rPr>
            </w:pPr>
            <w:r>
              <w:rPr>
                <w:rFonts w:ascii="Arial" w:cs="Arial" w:eastAsia="Arial" w:hAnsi="Arial"/>
                <w:sz w:val="18"/>
                <w:szCs w:val="18"/>
                <w:color w:val="auto"/>
              </w:rPr>
              <w:t>249.86p</w:t>
            </w:r>
          </w:p>
        </w:tc>
        <w:tc>
          <w:tcPr>
            <w:tcW w:w="1780" w:type="dxa"/>
            <w:vAlign w:val="bottom"/>
            <w:gridSpan w:val="2"/>
          </w:tcPr>
          <w:p>
            <w:pPr>
              <w:jc w:val="right"/>
              <w:ind w:right="620"/>
              <w:spacing w:after="0"/>
              <w:rPr>
                <w:sz w:val="20"/>
                <w:szCs w:val="20"/>
                <w:color w:val="auto"/>
              </w:rPr>
            </w:pPr>
            <w:r>
              <w:rPr>
                <w:rFonts w:ascii="Arial" w:cs="Arial" w:eastAsia="Arial" w:hAnsi="Arial"/>
                <w:sz w:val="18"/>
                <w:szCs w:val="18"/>
                <w:color w:val="auto"/>
              </w:rPr>
              <w:t>253.50p</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242.50p</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15, 2022</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70,254</w:t>
            </w:r>
          </w:p>
        </w:tc>
        <w:tc>
          <w:tcPr>
            <w:tcW w:w="18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251.00p</w:t>
            </w:r>
          </w:p>
        </w:tc>
        <w:tc>
          <w:tcPr>
            <w:tcW w:w="17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255.00p</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247.00p</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September 16, 2022</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71,408</w:t>
            </w:r>
          </w:p>
        </w:tc>
        <w:tc>
          <w:tcPr>
            <w:tcW w:w="1840" w:type="dxa"/>
            <w:vAlign w:val="bottom"/>
            <w:gridSpan w:val="2"/>
          </w:tcPr>
          <w:p>
            <w:pPr>
              <w:jc w:val="right"/>
              <w:ind w:right="620"/>
              <w:spacing w:after="0"/>
              <w:rPr>
                <w:sz w:val="20"/>
                <w:szCs w:val="20"/>
                <w:color w:val="auto"/>
              </w:rPr>
            </w:pPr>
            <w:r>
              <w:rPr>
                <w:rFonts w:ascii="Arial" w:cs="Arial" w:eastAsia="Arial" w:hAnsi="Arial"/>
                <w:sz w:val="18"/>
                <w:szCs w:val="18"/>
                <w:color w:val="auto"/>
              </w:rPr>
              <w:t>251.45p</w:t>
            </w:r>
          </w:p>
        </w:tc>
        <w:tc>
          <w:tcPr>
            <w:tcW w:w="1780" w:type="dxa"/>
            <w:vAlign w:val="bottom"/>
            <w:gridSpan w:val="2"/>
          </w:tcPr>
          <w:p>
            <w:pPr>
              <w:jc w:val="right"/>
              <w:ind w:right="620"/>
              <w:spacing w:after="0"/>
              <w:rPr>
                <w:sz w:val="20"/>
                <w:szCs w:val="20"/>
                <w:color w:val="auto"/>
              </w:rPr>
            </w:pPr>
            <w:r>
              <w:rPr>
                <w:rFonts w:ascii="Arial" w:cs="Arial" w:eastAsia="Arial" w:hAnsi="Arial"/>
                <w:sz w:val="18"/>
                <w:szCs w:val="18"/>
                <w:color w:val="auto"/>
              </w:rPr>
              <w:t>258.00p</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243.50p</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20, 2022</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109,497</w:t>
            </w:r>
          </w:p>
        </w:tc>
        <w:tc>
          <w:tcPr>
            <w:tcW w:w="18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239.39p</w:t>
            </w:r>
          </w:p>
        </w:tc>
        <w:tc>
          <w:tcPr>
            <w:tcW w:w="17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253.50p</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234.50p</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September 21, 2022</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113,625</w:t>
            </w:r>
          </w:p>
        </w:tc>
        <w:tc>
          <w:tcPr>
            <w:tcW w:w="1840" w:type="dxa"/>
            <w:vAlign w:val="bottom"/>
            <w:gridSpan w:val="2"/>
          </w:tcPr>
          <w:p>
            <w:pPr>
              <w:jc w:val="right"/>
              <w:ind w:right="620"/>
              <w:spacing w:after="0"/>
              <w:rPr>
                <w:sz w:val="20"/>
                <w:szCs w:val="20"/>
                <w:color w:val="auto"/>
              </w:rPr>
            </w:pPr>
            <w:r>
              <w:rPr>
                <w:rFonts w:ascii="Arial" w:cs="Arial" w:eastAsia="Arial" w:hAnsi="Arial"/>
                <w:sz w:val="18"/>
                <w:szCs w:val="18"/>
                <w:color w:val="auto"/>
              </w:rPr>
              <w:t>225.64p</w:t>
            </w:r>
          </w:p>
        </w:tc>
        <w:tc>
          <w:tcPr>
            <w:tcW w:w="1780" w:type="dxa"/>
            <w:vAlign w:val="bottom"/>
            <w:gridSpan w:val="2"/>
          </w:tcPr>
          <w:p>
            <w:pPr>
              <w:jc w:val="right"/>
              <w:ind w:right="620"/>
              <w:spacing w:after="0"/>
              <w:rPr>
                <w:sz w:val="20"/>
                <w:szCs w:val="20"/>
                <w:color w:val="auto"/>
              </w:rPr>
            </w:pPr>
            <w:r>
              <w:rPr>
                <w:rFonts w:ascii="Arial" w:cs="Arial" w:eastAsia="Arial" w:hAnsi="Arial"/>
                <w:sz w:val="18"/>
                <w:szCs w:val="18"/>
                <w:color w:val="auto"/>
              </w:rPr>
              <w:t>233.00p</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222.00p</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22, 2022</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113,372</w:t>
            </w:r>
          </w:p>
        </w:tc>
        <w:tc>
          <w:tcPr>
            <w:tcW w:w="18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220.90p</w:t>
            </w:r>
          </w:p>
        </w:tc>
        <w:tc>
          <w:tcPr>
            <w:tcW w:w="17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224.00p</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211.00p</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September 23, 2022</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112,326</w:t>
            </w:r>
          </w:p>
        </w:tc>
        <w:tc>
          <w:tcPr>
            <w:tcW w:w="1840" w:type="dxa"/>
            <w:vAlign w:val="bottom"/>
            <w:gridSpan w:val="2"/>
          </w:tcPr>
          <w:p>
            <w:pPr>
              <w:jc w:val="right"/>
              <w:ind w:right="620"/>
              <w:spacing w:after="0"/>
              <w:rPr>
                <w:sz w:val="20"/>
                <w:szCs w:val="20"/>
                <w:color w:val="auto"/>
              </w:rPr>
            </w:pPr>
            <w:r>
              <w:rPr>
                <w:rFonts w:ascii="Arial" w:cs="Arial" w:eastAsia="Arial" w:hAnsi="Arial"/>
                <w:sz w:val="18"/>
                <w:szCs w:val="18"/>
                <w:color w:val="auto"/>
              </w:rPr>
              <w:t>218.38p</w:t>
            </w:r>
          </w:p>
        </w:tc>
        <w:tc>
          <w:tcPr>
            <w:tcW w:w="1780" w:type="dxa"/>
            <w:vAlign w:val="bottom"/>
            <w:gridSpan w:val="2"/>
          </w:tcPr>
          <w:p>
            <w:pPr>
              <w:jc w:val="right"/>
              <w:ind w:right="620"/>
              <w:spacing w:after="0"/>
              <w:rPr>
                <w:sz w:val="20"/>
                <w:szCs w:val="20"/>
                <w:color w:val="auto"/>
              </w:rPr>
            </w:pPr>
            <w:r>
              <w:rPr>
                <w:rFonts w:ascii="Arial" w:cs="Arial" w:eastAsia="Arial" w:hAnsi="Arial"/>
                <w:sz w:val="18"/>
                <w:szCs w:val="18"/>
                <w:color w:val="auto"/>
              </w:rPr>
              <w:t>224.50p</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215.00p</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26, 2022</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114,347</w:t>
            </w:r>
          </w:p>
        </w:tc>
        <w:tc>
          <w:tcPr>
            <w:tcW w:w="18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216.02p</w:t>
            </w:r>
          </w:p>
        </w:tc>
        <w:tc>
          <w:tcPr>
            <w:tcW w:w="17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219.00p</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211.00p</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September 27, 2022</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114,909</w:t>
            </w:r>
          </w:p>
        </w:tc>
        <w:tc>
          <w:tcPr>
            <w:tcW w:w="1840" w:type="dxa"/>
            <w:vAlign w:val="bottom"/>
            <w:gridSpan w:val="2"/>
          </w:tcPr>
          <w:p>
            <w:pPr>
              <w:jc w:val="right"/>
              <w:ind w:right="620"/>
              <w:spacing w:after="0"/>
              <w:rPr>
                <w:sz w:val="20"/>
                <w:szCs w:val="20"/>
                <w:color w:val="auto"/>
              </w:rPr>
            </w:pPr>
            <w:r>
              <w:rPr>
                <w:rFonts w:ascii="Arial" w:cs="Arial" w:eastAsia="Arial" w:hAnsi="Arial"/>
                <w:sz w:val="18"/>
                <w:szCs w:val="18"/>
                <w:color w:val="auto"/>
              </w:rPr>
              <w:t>216.02p</w:t>
            </w:r>
          </w:p>
        </w:tc>
        <w:tc>
          <w:tcPr>
            <w:tcW w:w="1780" w:type="dxa"/>
            <w:vAlign w:val="bottom"/>
            <w:gridSpan w:val="2"/>
          </w:tcPr>
          <w:p>
            <w:pPr>
              <w:jc w:val="right"/>
              <w:ind w:right="620"/>
              <w:spacing w:after="0"/>
              <w:rPr>
                <w:sz w:val="20"/>
                <w:szCs w:val="20"/>
                <w:color w:val="auto"/>
              </w:rPr>
            </w:pPr>
            <w:r>
              <w:rPr>
                <w:rFonts w:ascii="Arial" w:cs="Arial" w:eastAsia="Arial" w:hAnsi="Arial"/>
                <w:sz w:val="18"/>
                <w:szCs w:val="18"/>
                <w:color w:val="auto"/>
              </w:rPr>
              <w:t>219.00p</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211.00p</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28, 2022</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73,240</w:t>
            </w:r>
          </w:p>
        </w:tc>
        <w:tc>
          <w:tcPr>
            <w:tcW w:w="18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223.42p</w:t>
            </w:r>
          </w:p>
        </w:tc>
        <w:tc>
          <w:tcPr>
            <w:tcW w:w="17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230.00p</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212.50p</w:t>
            </w:r>
          </w:p>
        </w:tc>
        <w:tc>
          <w:tcPr>
            <w:tcW w:w="0" w:type="dxa"/>
            <w:vAlign w:val="bottom"/>
          </w:tcPr>
          <w:p>
            <w:pPr>
              <w:spacing w:after="0"/>
              <w:rPr>
                <w:sz w:val="1"/>
                <w:szCs w:val="1"/>
                <w:color w:val="auto"/>
              </w:rPr>
            </w:pP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September 30, 2022</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51,258</w:t>
            </w:r>
          </w:p>
        </w:tc>
        <w:tc>
          <w:tcPr>
            <w:tcW w:w="1840" w:type="dxa"/>
            <w:vAlign w:val="bottom"/>
            <w:gridSpan w:val="2"/>
          </w:tcPr>
          <w:p>
            <w:pPr>
              <w:jc w:val="right"/>
              <w:ind w:right="620"/>
              <w:spacing w:after="0"/>
              <w:rPr>
                <w:sz w:val="20"/>
                <w:szCs w:val="20"/>
                <w:color w:val="auto"/>
              </w:rPr>
            </w:pPr>
            <w:r>
              <w:rPr>
                <w:rFonts w:ascii="Arial" w:cs="Arial" w:eastAsia="Arial" w:hAnsi="Arial"/>
                <w:sz w:val="18"/>
                <w:szCs w:val="18"/>
                <w:color w:val="auto"/>
              </w:rPr>
              <w:t>236.95p</w:t>
            </w:r>
          </w:p>
        </w:tc>
        <w:tc>
          <w:tcPr>
            <w:tcW w:w="1780" w:type="dxa"/>
            <w:vAlign w:val="bottom"/>
            <w:gridSpan w:val="2"/>
          </w:tcPr>
          <w:p>
            <w:pPr>
              <w:jc w:val="right"/>
              <w:ind w:right="620"/>
              <w:spacing w:after="0"/>
              <w:rPr>
                <w:sz w:val="20"/>
                <w:szCs w:val="20"/>
                <w:color w:val="auto"/>
              </w:rPr>
            </w:pPr>
            <w:r>
              <w:rPr>
                <w:rFonts w:ascii="Arial" w:cs="Arial" w:eastAsia="Arial" w:hAnsi="Arial"/>
                <w:sz w:val="18"/>
                <w:szCs w:val="18"/>
                <w:color w:val="auto"/>
              </w:rPr>
              <w:t>237.00p</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235.50p</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During the month ended September 30, 2022, the Company repurchased an aggregate of 1,683,506 Ordinary Shares. As of September 30, 2022, the Company’s issued share capital was 289,012,903 shares, 6,656,345 of which were held in treasury, resulting in total voting rights in the Company of 282,356,558 shares. To view the details of the individual transactions, please paste the following URL(s) into the address bar of your browser with respect to each individual date of repurchase under the Program: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September 1, 2022: https://data.fca.org.uk/artefacts/NSM/RNS/4495558.html</w:t>
      </w:r>
    </w:p>
    <w:p>
      <w:pPr>
        <w:sectPr>
          <w:pgSz w:w="11900" w:h="16838" w:orient="portrait"/>
          <w:cols w:equalWidth="0" w:num="1">
            <w:col w:w="10920"/>
          </w:cols>
          <w:pgMar w:left="440" w:top="270" w:right="53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September 2, 2022: https://data.fca.org.uk/artefacts/NSM/RNS/4497145.html</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September 5, 2022: https://data.fca.org.uk/artefacts/NSM/RNS/4498809.html</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September 6, 2022: https://data.fca.org.uk/artefacts/NSM/RNS/4500457.html</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September 7, 2022: https://data.fca.org.uk/artefacts/NSM/RNS/4502245.html</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September 8, 2022: https://data.fca.org.uk/artefacts/NSM/RNS/4503844.html</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September 9, 2022: https://data.fca.org.uk/artefacts/NSM/RNS/4505454.html</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September 12, 2022: https://data.fca.org.uk/artefacts/NSM/RNS/4507136.html</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September 13, 2022: https://data.fca.org.uk/artefacts/NSM/RNS/4508833.html</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September 14, 2022: https://data.fca.org.uk/artefacts/NSM/RNS/4510471.html</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September 15, 2022: https://data.fca.org.uk/artefacts/NSM/RNS/4511953.html</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September 16, 2022: https://data.fca.org.uk/artefacts/NSM/RNS/4513692.html</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September 20, 2022: https://data.fca.org.uk/artefacts/NSM/RNS/4515899.html</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September 21, 2022: https://data.fca.org.uk/artefacts/NSM/RNS/4517525.html</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September 22, 2022: https://data.fca.org.uk/artefacts/NSM/RNS/4518975.html</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September 23, 2022: https://data.fca.org.uk/artefacts/NSM/RNS/4520489.html</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September 26, 2022: https://data.fca.org.uk/artefacts/NSM/RNS/4522380.html</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September 27, 2022: https://data.fca.org.uk/artefacts/NSM/RNS/4524262.html</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September 28, 2022: https://data.fca.org.uk/artefacts/NSM/RNS/4526043.html</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2022: https://data.fca.org.uk/artefacts/NSM/RNS/4529777.html</w:t>
      </w:r>
    </w:p>
    <w:p>
      <w:pPr>
        <w:sectPr>
          <w:pgSz w:w="11900" w:h="16838" w:orient="portrait"/>
          <w:cols w:equalWidth="0" w:num="1">
            <w:col w:w="10019"/>
          </w:cols>
          <w:pgMar w:left="440" w:top="274"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7740" w:type="dxa"/>
            <w:vAlign w:val="bottom"/>
            <w:gridSpan w:val="3"/>
          </w:tcPr>
          <w:p>
            <w:pPr>
              <w:ind w:left="1680"/>
              <w:spacing w:after="0"/>
              <w:rPr>
                <w:sz w:val="20"/>
                <w:szCs w:val="20"/>
                <w:color w:val="auto"/>
              </w:rPr>
            </w:pPr>
            <w:r>
              <w:rPr>
                <w:rFonts w:ascii="Arial" w:cs="Arial" w:eastAsia="Arial" w:hAnsi="Arial"/>
                <w:sz w:val="18"/>
                <w:szCs w:val="18"/>
                <w:color w:val="auto"/>
              </w:rPr>
              <w:t>PURETECH HEALTH PLC</w:t>
            </w: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Date: October 4, 2022</w:t>
            </w:r>
          </w:p>
        </w:tc>
        <w:tc>
          <w:tcPr>
            <w:tcW w:w="7740" w:type="dxa"/>
            <w:vAlign w:val="bottom"/>
            <w:gridSpan w:val="3"/>
          </w:tcPr>
          <w:p>
            <w:pPr>
              <w:ind w:left="1680"/>
              <w:spacing w:after="0"/>
              <w:rPr>
                <w:sz w:val="20"/>
                <w:szCs w:val="20"/>
                <w:color w:val="auto"/>
              </w:rPr>
            </w:pPr>
            <w:r>
              <w:rPr>
                <w:rFonts w:ascii="Arial" w:cs="Arial" w:eastAsia="Arial" w:hAnsi="Arial"/>
                <w:sz w:val="18"/>
                <w:szCs w:val="18"/>
                <w:color w:val="auto"/>
              </w:rPr>
              <w:t>By:    /s/ Daphne Zohar</w:t>
            </w:r>
          </w:p>
        </w:tc>
      </w:tr>
      <w:tr>
        <w:trPr>
          <w:trHeight w:val="209"/>
        </w:trPr>
        <w:tc>
          <w:tcPr>
            <w:tcW w:w="3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9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Daphne Zohar</w:t>
            </w:r>
          </w:p>
        </w:tc>
      </w:tr>
      <w:tr>
        <w:trPr>
          <w:trHeight w:val="230"/>
        </w:trPr>
        <w:tc>
          <w:tcPr>
            <w:tcW w:w="3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Chief Executive Officer</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2022-10-04T15:46:34Z</dcterms:created>
  <dcterms:modified xsi:type="dcterms:W3CDTF">2022-10-04T15:46:34Z</dcterms:modified>
</cp:coreProperties>
</file>