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January, 2023</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May 9, 2022, PureTech Health plc (LSE: PRTC, Nasdaq: PRTC) (the “Company”) announced the commencement of a $50 million share repurchase program (the “Program”) of its ordinary shares of one pence each (“Ordinary Shares”). The Company plans to execute the Program in two equal tranches, the first of which was completed on October 26, 2022. In respect of each of the two tranches, PureTech entered into an irrevocable non-discretionary instruction with Jefferies International Limited (“Jefferies”) in relation to the purchase by Jefferies of Ordinary Shares for an aggregate consideration (excluding expenses) of no greater than $25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second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15, 2022,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During the month ended January 31, 2023, the Company had the following daily purchases of its own Ordinary Shares under the Program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Jefferies: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00" w:type="dxa"/>
            <w:vAlign w:val="bottom"/>
            <w:gridSpan w:val="2"/>
            <w:vMerge w:val="restart"/>
          </w:tcPr>
          <w:p>
            <w:pPr>
              <w:jc w:val="center"/>
              <w:ind w:right="1060"/>
              <w:spacing w:after="0"/>
              <w:rPr>
                <w:sz w:val="20"/>
                <w:szCs w:val="20"/>
                <w:color w:val="auto"/>
              </w:rPr>
            </w:pPr>
            <w:r>
              <w:rPr>
                <w:rFonts w:ascii="Arial" w:cs="Arial" w:eastAsia="Arial" w:hAnsi="Arial"/>
                <w:sz w:val="14"/>
                <w:szCs w:val="14"/>
                <w:b w:val="1"/>
                <w:bCs w:val="1"/>
                <w:color w:val="auto"/>
                <w:w w:val="95"/>
              </w:rPr>
              <w:t>Ordinary Shares</w:t>
            </w:r>
          </w:p>
        </w:tc>
        <w:tc>
          <w:tcPr>
            <w:tcW w:w="228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3"/>
              </w:rPr>
              <w:t>Volume Weighted</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jc w:val="center"/>
              <w:ind w:right="1060"/>
              <w:spacing w:after="0"/>
              <w:rPr>
                <w:sz w:val="20"/>
                <w:szCs w:val="20"/>
                <w:color w:val="auto"/>
              </w:rPr>
            </w:pPr>
            <w:r>
              <w:rPr>
                <w:rFonts w:ascii="Arial" w:cs="Arial" w:eastAsia="Arial" w:hAnsi="Arial"/>
                <w:sz w:val="14"/>
                <w:szCs w:val="14"/>
                <w:b w:val="1"/>
                <w:bCs w:val="1"/>
                <w:color w:val="auto"/>
                <w:w w:val="92"/>
              </w:rPr>
              <w:t>Date</w:t>
            </w:r>
          </w:p>
        </w:tc>
        <w:tc>
          <w:tcPr>
            <w:tcW w:w="2100" w:type="dxa"/>
            <w:vAlign w:val="bottom"/>
            <w:gridSpan w:val="2"/>
            <w:vMerge w:val="continue"/>
          </w:tcPr>
          <w:p>
            <w:pPr>
              <w:spacing w:after="0"/>
              <w:rPr>
                <w:sz w:val="12"/>
                <w:szCs w:val="12"/>
                <w:color w:val="auto"/>
              </w:rPr>
            </w:pPr>
          </w:p>
        </w:tc>
        <w:tc>
          <w:tcPr>
            <w:tcW w:w="228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2"/>
              </w:rPr>
              <w:t>Average Price Paid</w:t>
            </w:r>
          </w:p>
        </w:tc>
        <w:tc>
          <w:tcPr>
            <w:tcW w:w="2220" w:type="dxa"/>
            <w:vAlign w:val="bottom"/>
            <w:gridSpan w:val="2"/>
            <w:vMerge w:val="restart"/>
          </w:tcPr>
          <w:p>
            <w:pPr>
              <w:jc w:val="center"/>
              <w:ind w:right="1080"/>
              <w:spacing w:after="0"/>
              <w:rPr>
                <w:sz w:val="20"/>
                <w:szCs w:val="20"/>
                <w:color w:val="auto"/>
              </w:rPr>
            </w:pPr>
            <w:r>
              <w:rPr>
                <w:rFonts w:ascii="Arial" w:cs="Arial" w:eastAsia="Arial" w:hAnsi="Arial"/>
                <w:sz w:val="14"/>
                <w:szCs w:val="14"/>
                <w:b w:val="1"/>
                <w:bCs w:val="1"/>
                <w:color w:val="auto"/>
                <w:w w:val="92"/>
              </w:rPr>
              <w:t>Highest Price Paid</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Lowest Price Paid</w:t>
            </w: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210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0"/>
              </w:rPr>
              <w:t>Repurchased</w:t>
            </w:r>
          </w:p>
        </w:tc>
        <w:tc>
          <w:tcPr>
            <w:tcW w:w="228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6"/>
              </w:rPr>
              <w:t>per Ordinary Share</w:t>
            </w:r>
          </w:p>
        </w:tc>
        <w:tc>
          <w:tcPr>
            <w:tcW w:w="222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24, 2023</w:t>
            </w:r>
          </w:p>
        </w:tc>
        <w:tc>
          <w:tcPr>
            <w:tcW w:w="1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842</w:t>
            </w:r>
          </w:p>
        </w:tc>
        <w:tc>
          <w:tcPr>
            <w:tcW w:w="10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261.79p</w:t>
            </w:r>
          </w:p>
        </w:tc>
        <w:tc>
          <w:tcPr>
            <w:tcW w:w="10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264.00p</w:t>
            </w:r>
          </w:p>
        </w:tc>
        <w:tc>
          <w:tcPr>
            <w:tcW w:w="10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260.00p</w:t>
            </w:r>
          </w:p>
        </w:tc>
        <w:tc>
          <w:tcPr>
            <w:tcW w:w="0" w:type="dxa"/>
            <w:vAlign w:val="bottom"/>
          </w:tcPr>
          <w:p>
            <w:pPr>
              <w:spacing w:after="0"/>
              <w:rPr>
                <w:sz w:val="1"/>
                <w:szCs w:val="1"/>
                <w:color w:val="auto"/>
              </w:rPr>
            </w:pPr>
          </w:p>
        </w:tc>
      </w:tr>
      <w:tr>
        <w:trPr>
          <w:trHeight w:val="216"/>
        </w:trPr>
        <w:tc>
          <w:tcPr>
            <w:tcW w:w="330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January 26, 2023</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10,511</w:t>
            </w:r>
          </w:p>
        </w:tc>
        <w:tc>
          <w:tcPr>
            <w:tcW w:w="1060" w:type="dxa"/>
            <w:vAlign w:val="bottom"/>
          </w:tcPr>
          <w:p>
            <w:pPr>
              <w:spacing w:after="0"/>
              <w:rPr>
                <w:sz w:val="18"/>
                <w:szCs w:val="18"/>
                <w:color w:val="auto"/>
              </w:rPr>
            </w:pPr>
          </w:p>
        </w:tc>
        <w:tc>
          <w:tcPr>
            <w:tcW w:w="228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264.46p</w:t>
            </w:r>
          </w:p>
        </w:tc>
        <w:tc>
          <w:tcPr>
            <w:tcW w:w="2220" w:type="dxa"/>
            <w:vAlign w:val="bottom"/>
            <w:gridSpan w:val="2"/>
          </w:tcPr>
          <w:p>
            <w:pPr>
              <w:jc w:val="center"/>
              <w:ind w:right="1080"/>
              <w:spacing w:after="0"/>
              <w:rPr>
                <w:sz w:val="20"/>
                <w:szCs w:val="20"/>
                <w:color w:val="auto"/>
              </w:rPr>
            </w:pPr>
            <w:r>
              <w:rPr>
                <w:rFonts w:ascii="Arial" w:cs="Arial" w:eastAsia="Arial" w:hAnsi="Arial"/>
                <w:sz w:val="18"/>
                <w:szCs w:val="18"/>
                <w:color w:val="auto"/>
                <w:w w:val="89"/>
              </w:rPr>
              <w:t>265.00p</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260.50p</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89"/>
              </w:rPr>
              <w:t>January 27, 2023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10,417</w:t>
            </w:r>
          </w:p>
        </w:tc>
        <w:tc>
          <w:tcPr>
            <w:tcW w:w="10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89"/>
              </w:rPr>
              <w:t>251.46p</w:t>
            </w:r>
          </w:p>
        </w:tc>
        <w:tc>
          <w:tcPr>
            <w:tcW w:w="2220" w:type="dxa"/>
            <w:vAlign w:val="bottom"/>
            <w:gridSpan w:val="2"/>
            <w:shd w:val="clear" w:color="auto" w:fill="CCEEFF"/>
          </w:tcPr>
          <w:p>
            <w:pPr>
              <w:jc w:val="center"/>
              <w:ind w:right="1080"/>
              <w:spacing w:after="0"/>
              <w:rPr>
                <w:sz w:val="20"/>
                <w:szCs w:val="20"/>
                <w:color w:val="auto"/>
              </w:rPr>
            </w:pPr>
            <w:r>
              <w:rPr>
                <w:rFonts w:ascii="Arial" w:cs="Arial" w:eastAsia="Arial" w:hAnsi="Arial"/>
                <w:sz w:val="18"/>
                <w:szCs w:val="18"/>
                <w:color w:val="auto"/>
                <w:w w:val="89"/>
              </w:rPr>
              <w:t>257.50p</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248.00p</w:t>
            </w:r>
          </w:p>
        </w:tc>
        <w:tc>
          <w:tcPr>
            <w:tcW w:w="0" w:type="dxa"/>
            <w:vAlign w:val="bottom"/>
          </w:tcPr>
          <w:p>
            <w:pPr>
              <w:spacing w:after="0"/>
              <w:rPr>
                <w:sz w:val="1"/>
                <w:szCs w:val="1"/>
                <w:color w:val="auto"/>
              </w:rPr>
            </w:pPr>
          </w:p>
        </w:tc>
      </w:tr>
      <w:tr>
        <w:trPr>
          <w:trHeight w:val="216"/>
        </w:trPr>
        <w:tc>
          <w:tcPr>
            <w:tcW w:w="330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January 30, 2023</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10,650</w:t>
            </w:r>
          </w:p>
        </w:tc>
        <w:tc>
          <w:tcPr>
            <w:tcW w:w="1060" w:type="dxa"/>
            <w:vAlign w:val="bottom"/>
          </w:tcPr>
          <w:p>
            <w:pPr>
              <w:spacing w:after="0"/>
              <w:rPr>
                <w:sz w:val="18"/>
                <w:szCs w:val="18"/>
                <w:color w:val="auto"/>
              </w:rPr>
            </w:pPr>
          </w:p>
        </w:tc>
        <w:tc>
          <w:tcPr>
            <w:tcW w:w="228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250.18p</w:t>
            </w:r>
          </w:p>
        </w:tc>
        <w:tc>
          <w:tcPr>
            <w:tcW w:w="2220" w:type="dxa"/>
            <w:vAlign w:val="bottom"/>
            <w:gridSpan w:val="2"/>
          </w:tcPr>
          <w:p>
            <w:pPr>
              <w:jc w:val="center"/>
              <w:ind w:right="1080"/>
              <w:spacing w:after="0"/>
              <w:rPr>
                <w:sz w:val="20"/>
                <w:szCs w:val="20"/>
                <w:color w:val="auto"/>
              </w:rPr>
            </w:pPr>
            <w:r>
              <w:rPr>
                <w:rFonts w:ascii="Arial" w:cs="Arial" w:eastAsia="Arial" w:hAnsi="Arial"/>
                <w:sz w:val="18"/>
                <w:szCs w:val="18"/>
                <w:color w:val="auto"/>
                <w:w w:val="89"/>
              </w:rPr>
              <w:t>256.00p</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247.00p</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89"/>
              </w:rPr>
              <w:t>January 31, 2023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10,574</w:t>
            </w:r>
          </w:p>
        </w:tc>
        <w:tc>
          <w:tcPr>
            <w:tcW w:w="10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89"/>
              </w:rPr>
              <w:t>257.56p</w:t>
            </w:r>
          </w:p>
        </w:tc>
        <w:tc>
          <w:tcPr>
            <w:tcW w:w="2220" w:type="dxa"/>
            <w:vAlign w:val="bottom"/>
            <w:gridSpan w:val="2"/>
            <w:shd w:val="clear" w:color="auto" w:fill="CCEEFF"/>
          </w:tcPr>
          <w:p>
            <w:pPr>
              <w:jc w:val="center"/>
              <w:ind w:right="1080"/>
              <w:spacing w:after="0"/>
              <w:rPr>
                <w:sz w:val="20"/>
                <w:szCs w:val="20"/>
                <w:color w:val="auto"/>
              </w:rPr>
            </w:pPr>
            <w:r>
              <w:rPr>
                <w:rFonts w:ascii="Arial" w:cs="Arial" w:eastAsia="Arial" w:hAnsi="Arial"/>
                <w:sz w:val="18"/>
                <w:szCs w:val="18"/>
                <w:color w:val="auto"/>
                <w:w w:val="89"/>
              </w:rPr>
              <w:t>259.50p</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255.50p</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month ended January 31, 2023, the Company repurchased an aggregate of 42,994 Ordinary Shares. As of January 31, 2023, the Company’s issued share capital was 289,468,159 shares, 10,638,341 of which were held in treasury, resulting in total voting rights in the Company of 278,829,818 shares. To view the details of the individual transactions, please paste the following URL(s) into the address bar of your browser with respect to each individual date of repurchase under the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January 24, 2023: https://data.fca.org.uk/artefacts/NSM/RNS/4652834.html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26, 2023: https://data.fca.org.uk/artefacts/NSM/RNS/4655609.html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27, 2023: https://data.fca.org.uk/artefacts/NSM/RNS/4656979.html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30, 2023: https://data.fca.org.uk/artefacts/NSM/RNS/4658507.html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2023: https://data.fca.org.uk/artefacts/NSM/RNS/4660262.html</w:t>
      </w:r>
    </w:p>
    <w:p>
      <w:pPr>
        <w:sectPr>
          <w:pgSz w:w="11900" w:h="16838" w:orient="portrait"/>
          <w:cols w:equalWidth="0" w:num="1">
            <w:col w:w="11020"/>
          </w:cols>
          <w:pgMar w:left="440"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7720" w:type="dxa"/>
            <w:vAlign w:val="bottom"/>
            <w:gridSpan w:val="3"/>
          </w:tcPr>
          <w:p>
            <w:pPr>
              <w:ind w:left="1660"/>
              <w:spacing w:after="0"/>
              <w:rPr>
                <w:sz w:val="20"/>
                <w:szCs w:val="20"/>
                <w:color w:val="auto"/>
              </w:rPr>
            </w:pPr>
            <w:r>
              <w:rPr>
                <w:rFonts w:ascii="Arial" w:cs="Arial" w:eastAsia="Arial" w:hAnsi="Arial"/>
                <w:sz w:val="18"/>
                <w:szCs w:val="18"/>
                <w:color w:val="auto"/>
              </w:rPr>
              <w:t>PURETECH HEALTH PLC</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 February 3, 2023</w:t>
            </w:r>
          </w:p>
        </w:tc>
        <w:tc>
          <w:tcPr>
            <w:tcW w:w="7720" w:type="dxa"/>
            <w:vAlign w:val="bottom"/>
            <w:gridSpan w:val="3"/>
          </w:tcPr>
          <w:p>
            <w:pPr>
              <w:ind w:left="1660"/>
              <w:spacing w:after="0"/>
              <w:rPr>
                <w:sz w:val="20"/>
                <w:szCs w:val="20"/>
                <w:color w:val="auto"/>
              </w:rPr>
            </w:pPr>
            <w:r>
              <w:rPr>
                <w:rFonts w:ascii="Arial" w:cs="Arial" w:eastAsia="Arial" w:hAnsi="Arial"/>
                <w:sz w:val="18"/>
                <w:szCs w:val="18"/>
                <w:color w:val="auto"/>
              </w:rPr>
              <w:t>By:    /s/ Daphne Zohar</w:t>
            </w:r>
          </w:p>
        </w:tc>
      </w:tr>
      <w:tr>
        <w:trPr>
          <w:trHeight w:val="209"/>
        </w:trPr>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Daphne Zohar</w:t>
            </w:r>
          </w:p>
        </w:tc>
      </w:tr>
      <w:tr>
        <w:trPr>
          <w:trHeight w:val="230"/>
        </w:trPr>
        <w:tc>
          <w:tcPr>
            <w:tcW w:w="3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2023-02-03T05:20:02Z</dcterms:created>
  <dcterms:modified xsi:type="dcterms:W3CDTF">2023-02-03T05:20:02Z</dcterms:modified>
</cp:coreProperties>
</file>