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9, 2021, PureTech Health plc (LSE: PRTC, Nasdaq: PRTC) (the “Company”) issued a press release announcing, among other things, certain limited financial information about the Company as of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560" w:type="dxa"/>
            <w:vAlign w:val="bottom"/>
          </w:tcPr>
          <w:p>
            <w:pPr>
              <w:spacing w:after="0"/>
              <w:rPr>
                <w:sz w:val="14"/>
                <w:szCs w:val="14"/>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3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of PureTech Health plc, dated November 9, 2021, titled “PureTech Announces Participation at the Jefferies London</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Healthcare Conference.”</w:t>
              </w:r>
            </w:hyperlink>
          </w:p>
        </w:tc>
        <w:tc>
          <w:tcPr>
            <w:tcW w:w="7560" w:type="dxa"/>
            <w:vAlign w:val="bottom"/>
          </w:tcPr>
          <w:p>
            <w:pPr>
              <w:spacing w:after="0"/>
              <w:rPr>
                <w:sz w:val="17"/>
                <w:szCs w:val="17"/>
                <w:color w:val="auto"/>
              </w:rPr>
            </w:pPr>
          </w:p>
        </w:tc>
      </w:tr>
    </w:tbl>
    <w:p>
      <w:pPr>
        <w:sectPr>
          <w:pgSz w:w="11900" w:h="16838" w:orient="portrait"/>
          <w:cols w:equalWidth="0" w:num="1">
            <w:col w:w="10620"/>
          </w:cols>
          <w:pgMar w:left="440" w:top="270"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PURETECH HEALTH PLC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9, 2021</w:t>
            </w: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By:  /s/ Daphne Zohar</w:t>
            </w:r>
          </w:p>
        </w:tc>
      </w:tr>
      <w:tr>
        <w:trPr>
          <w:trHeight w:val="195"/>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Daphne Zohar</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9 November 2021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PureTech Health plc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PureTech Announces Participation at the Jefferies London Healthcare Conference</w:t>
      </w:r>
    </w:p>
    <w:p>
      <w:pPr>
        <w:spacing w:after="0" w:line="229" w:lineRule="exact"/>
        <w:rPr>
          <w:sz w:val="20"/>
          <w:szCs w:val="20"/>
          <w:color w:val="auto"/>
        </w:rPr>
      </w:pPr>
    </w:p>
    <w:p>
      <w:pPr>
        <w:jc w:val="center"/>
        <w:ind w:right="16"/>
        <w:spacing w:after="0" w:line="277" w:lineRule="auto"/>
        <w:rPr>
          <w:sz w:val="20"/>
          <w:szCs w:val="20"/>
          <w:color w:val="auto"/>
        </w:rPr>
      </w:pPr>
      <w:r>
        <w:rPr>
          <w:rFonts w:ascii="Arial" w:cs="Arial" w:eastAsia="Arial" w:hAnsi="Arial"/>
          <w:sz w:val="18"/>
          <w:szCs w:val="18"/>
          <w:i w:val="1"/>
          <w:iCs w:val="1"/>
          <w:color w:val="auto"/>
        </w:rPr>
        <w:t>Company reports PureTech Level Cash and Cash Equivalents of $387.3 million</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and Consolidated Cash and Cash Equivalents of $441.0 million</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as of September 30, 2021</w:t>
      </w:r>
    </w:p>
    <w:p>
      <w:pPr>
        <w:spacing w:after="0" w:line="170"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u w:val="single" w:color="auto"/>
          <w:color w:val="auto"/>
        </w:rPr>
        <w:t>PureTech Health plc</w:t>
      </w:r>
      <w:r>
        <w:rPr>
          <w:rFonts w:ascii="Arial" w:cs="Arial" w:eastAsia="Arial" w:hAnsi="Arial"/>
          <w:sz w:val="18"/>
          <w:szCs w:val="18"/>
          <w:color w:val="auto"/>
        </w:rPr>
        <w:t xml:space="preserve"> (Nasdaq: PRTC, LSE: PRTC) (“PureTech” or the “Company”), a clinical-stage biotherapeutics company dedicated to discovering, developing and commercializing highly differentiated medicines for devastating diseases, today announced that Bharatt Chowrira, Ph.D., J.D., President and Chief of Business and Strategy and George Farmer, Ph.D., Chief Financial Officer, will participate in a fireside chat at the Jefferies London Healthcare Conference on Wednesday, November 17, 2021, at 7:20 AM EST. A webcast of the presentation will be available at </w:t>
      </w:r>
      <w:r>
        <w:rPr>
          <w:rFonts w:ascii="Arial" w:cs="Arial" w:eastAsia="Arial" w:hAnsi="Arial"/>
          <w:sz w:val="18"/>
          <w:szCs w:val="18"/>
          <w:u w:val="single" w:color="auto"/>
          <w:color w:val="auto"/>
        </w:rPr>
        <w:t>https://investors.puretechhealth.com/events-presentations</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color w:val="auto"/>
        </w:rPr>
        <w:t>Additionally, the Company reported PureTech Level Cash and Cash Equivalents of $387.3 million and Consolidated Cash and cash equivalents of</w:t>
      </w:r>
    </w:p>
    <w:p>
      <w:pPr>
        <w:spacing w:after="0" w:line="34" w:lineRule="exact"/>
        <w:rPr>
          <w:sz w:val="20"/>
          <w:szCs w:val="20"/>
          <w:color w:val="auto"/>
        </w:rPr>
      </w:pPr>
    </w:p>
    <w:p>
      <w:pPr>
        <w:ind w:left="4" w:right="180"/>
        <w:spacing w:after="0" w:line="262" w:lineRule="auto"/>
        <w:rPr>
          <w:sz w:val="20"/>
          <w:szCs w:val="20"/>
          <w:color w:val="auto"/>
        </w:rPr>
      </w:pPr>
      <w:r>
        <w:rPr>
          <w:rFonts w:ascii="Arial" w:cs="Arial" w:eastAsia="Arial" w:hAnsi="Arial"/>
          <w:sz w:val="18"/>
          <w:szCs w:val="18"/>
          <w:color w:val="auto"/>
        </w:rPr>
        <w:t>$441.0 million as of September 30, 2021.</w:t>
      </w:r>
      <w:r>
        <w:rPr>
          <w:rFonts w:ascii="Arial" w:cs="Arial" w:eastAsia="Arial" w:hAnsi="Arial"/>
          <w:sz w:val="15"/>
          <w:szCs w:val="15"/>
          <w:color w:val="auto"/>
        </w:rPr>
        <w:t>3</w:t>
      </w:r>
      <w:r>
        <w:rPr>
          <w:rFonts w:ascii="Arial" w:cs="Arial" w:eastAsia="Arial" w:hAnsi="Arial"/>
          <w:sz w:val="18"/>
          <w:szCs w:val="18"/>
          <w:color w:val="auto"/>
        </w:rPr>
        <w:t xml:space="preserve"> PureTech’s Founded Entities are also well-capitalized, having raised over $1.6 billion since July 2018, 96% of which came from third-party investors.</w:t>
      </w:r>
      <w:r>
        <w:rPr>
          <w:rFonts w:ascii="Arial" w:cs="Arial" w:eastAsia="Arial" w:hAnsi="Arial"/>
          <w:sz w:val="15"/>
          <w:szCs w:val="15"/>
          <w:color w:val="auto"/>
        </w:rPr>
        <w:t>4</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Non-IFRS Financial Measures</w:t>
      </w:r>
    </w:p>
    <w:p>
      <w:pPr>
        <w:spacing w:after="0" w:line="121"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PureTech Level Cash and Cash Equivalents is an alternative performance measure which is adjusted and constitutes a non-IFRS measure. We believe that these non-IFRS performance measures, when provided in combination with IFRS measures, will provide investors, analysts and other stakeholders with helpful complementary information to better understand our financial position from period to period. The measures are also used by management for planning and reporting purposes. The measures are not substitutable for IFRS measures and should not be considered superior to measures presented in accordance with IFRS.</w:t>
      </w:r>
    </w:p>
    <w:p>
      <w:pPr>
        <w:spacing w:after="0" w:line="188"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PureTech Level Cash and Cash Equivalents is defined as cash and cash equivalents held at PureTech Health plc and its wholly-owned subsidiaries only. Please see below for a reconciliation to Consolidated Cash and cash equivalents, which is the most directly comparable measure calculated in accordance with IFRS.</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58"/>
        </w:trPr>
        <w:tc>
          <w:tcPr>
            <w:tcW w:w="6180" w:type="dxa"/>
            <w:vAlign w:val="bottom"/>
            <w:gridSpan w:val="3"/>
            <w:vMerge w:val="continue"/>
          </w:tcPr>
          <w:p>
            <w:pPr>
              <w:spacing w:after="0"/>
              <w:rPr>
                <w:sz w:val="13"/>
                <w:szCs w:val="13"/>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7"/>
              </w:rPr>
              <w:t>September 30,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Consolidated Cash and cash equivalents</w:t>
            </w: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440,966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Less: Cash and cash equivalents held at non-wholly owned subsidiaries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PureTech Level Cash and Cash Equivalents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4" w:right="4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PureTech Level Cash and Cash equivalents as of September 30, 2021 represent cash and cash equivalents held at PureTech Health plc and its wholly-owned subsidiaries only. Please see the section captioned “Non-IFRS Financial Measures” included in this release for additional information.</w:t>
      </w:r>
    </w:p>
    <w:p>
      <w:pPr>
        <w:spacing w:after="0" w:line="2"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Consolidated Cash and cash equivalents as of September 30, 2021 represent cash and cash equivalents for PureTech Health plc in accordance with International Financial Reporting Standards (IFRS). Please see the section captioned “Non-IFRS Financial Measures” included in this release for additional information.</w:t>
      </w:r>
    </w:p>
    <w:p>
      <w:pPr>
        <w:spacing w:after="0" w:line="1" w:lineRule="exact"/>
        <w:rPr>
          <w:rFonts w:ascii="Arial" w:cs="Arial" w:eastAsia="Arial" w:hAnsi="Arial"/>
          <w:sz w:val="18"/>
          <w:szCs w:val="18"/>
          <w:color w:val="auto"/>
        </w:rPr>
      </w:pPr>
    </w:p>
    <w:p>
      <w:pPr>
        <w:ind w:left="424" w:right="7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figures are unaudited and do not present all information necessary for an understanding of the Company’s financial condition as of September 30, 2021.</w:t>
      </w:r>
    </w:p>
    <w:p>
      <w:pPr>
        <w:ind w:left="424" w:right="12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Funding figure includes private equity financings, loans and promissory notes, public offerings, or grant awards. Funding figure excludes future milestone considerations received in conjunction with partnerships and collaborations such as with, Boehringer Ingelheim, Imbrium Therapeutics L.P., Shionogi &amp; Co Ltd, or Eli Lilly.</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PureTech Health</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25 therapeutics and therapeutic candidates, including two that have received both U.S. FDA clearance and European marketing authorization, as of the date of PureTech’s most recently filed Half Year Report and corresponding Form 6-K.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www.puretechhealth.com</w:t>
      </w:r>
      <w:r>
        <w:rPr>
          <w:rFonts w:ascii="Arial" w:cs="Arial" w:eastAsia="Arial" w:hAnsi="Arial"/>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our participation in upcoming events and presentations.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2020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48"/>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4680" w:type="dxa"/>
            <w:vAlign w:val="bottom"/>
            <w:gridSpan w:val="3"/>
          </w:tcPr>
          <w:p>
            <w:pPr>
              <w:ind w:left="1060"/>
              <w:spacing w:after="0"/>
              <w:rPr>
                <w:sz w:val="20"/>
                <w:szCs w:val="20"/>
                <w:color w:val="auto"/>
              </w:rPr>
            </w:pPr>
            <w:r>
              <w:rPr>
                <w:rFonts w:ascii="Arial" w:cs="Arial" w:eastAsia="Arial" w:hAnsi="Arial"/>
                <w:sz w:val="18"/>
                <w:szCs w:val="18"/>
                <w:b w:val="1"/>
                <w:bCs w:val="1"/>
                <w:color w:val="auto"/>
              </w:rPr>
              <w:t>EU media</w:t>
            </w:r>
          </w:p>
        </w:tc>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U.S. media</w:t>
            </w:r>
          </w:p>
        </w:tc>
      </w:tr>
      <w:tr>
        <w:trPr>
          <w:trHeight w:val="310"/>
        </w:trPr>
        <w:tc>
          <w:tcPr>
            <w:tcW w:w="2920" w:type="dxa"/>
            <w:vAlign w:val="bottom"/>
            <w:gridSpan w:val="2"/>
          </w:tcPr>
          <w:p>
            <w:pPr>
              <w:spacing w:after="0"/>
              <w:rPr>
                <w:sz w:val="20"/>
                <w:szCs w:val="20"/>
                <w:color w:val="auto"/>
              </w:rPr>
            </w:pPr>
            <w:r>
              <w:rPr>
                <w:rFonts w:ascii="Arial" w:cs="Arial" w:eastAsia="Arial" w:hAnsi="Arial"/>
                <w:sz w:val="18"/>
                <w:szCs w:val="18"/>
                <w:color w:val="auto"/>
              </w:rPr>
              <w:t>Allison Mead Talbot</w:t>
            </w:r>
          </w:p>
        </w:tc>
        <w:tc>
          <w:tcPr>
            <w:tcW w:w="4680" w:type="dxa"/>
            <w:vAlign w:val="bottom"/>
            <w:gridSpan w:val="3"/>
          </w:tcPr>
          <w:p>
            <w:pPr>
              <w:ind w:left="1060"/>
              <w:spacing w:after="0"/>
              <w:rPr>
                <w:sz w:val="20"/>
                <w:szCs w:val="20"/>
                <w:color w:val="auto"/>
              </w:rPr>
            </w:pPr>
            <w:r>
              <w:rPr>
                <w:rFonts w:ascii="Arial" w:cs="Arial" w:eastAsia="Arial" w:hAnsi="Arial"/>
                <w:sz w:val="18"/>
                <w:szCs w:val="18"/>
                <w:color w:val="auto"/>
              </w:rPr>
              <w:t>Ben Atwell, Rob Winder</w:t>
            </w:r>
          </w:p>
        </w:tc>
        <w:tc>
          <w:tcPr>
            <w:tcW w:w="2920" w:type="dxa"/>
            <w:vAlign w:val="bottom"/>
          </w:tcPr>
          <w:p>
            <w:pPr>
              <w:ind w:left="20"/>
              <w:spacing w:after="0"/>
              <w:rPr>
                <w:sz w:val="20"/>
                <w:szCs w:val="20"/>
                <w:color w:val="auto"/>
              </w:rPr>
            </w:pPr>
            <w:r>
              <w:rPr>
                <w:rFonts w:ascii="Arial" w:cs="Arial" w:eastAsia="Arial" w:hAnsi="Arial"/>
                <w:sz w:val="18"/>
                <w:szCs w:val="18"/>
                <w:color w:val="auto"/>
              </w:rPr>
              <w:t>Nichole Sarkis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+1 617 651 3156</w:t>
            </w:r>
          </w:p>
        </w:tc>
        <w:tc>
          <w:tcPr>
            <w:tcW w:w="1080" w:type="dxa"/>
            <w:vAlign w:val="bottom"/>
          </w:tcPr>
          <w:p>
            <w:pPr>
              <w:spacing w:after="0"/>
              <w:rPr>
                <w:sz w:val="18"/>
                <w:szCs w:val="18"/>
                <w:color w:val="auto"/>
              </w:rPr>
            </w:pPr>
          </w:p>
        </w:tc>
        <w:tc>
          <w:tcPr>
            <w:tcW w:w="3340" w:type="dxa"/>
            <w:vAlign w:val="bottom"/>
            <w:gridSpan w:val="2"/>
          </w:tcPr>
          <w:p>
            <w:pPr>
              <w:ind w:left="1060"/>
              <w:spacing w:after="0"/>
              <w:rPr>
                <w:sz w:val="20"/>
                <w:szCs w:val="20"/>
                <w:color w:val="auto"/>
              </w:rPr>
            </w:pPr>
            <w:r>
              <w:rPr>
                <w:rFonts w:ascii="Arial" w:cs="Arial" w:eastAsia="Arial" w:hAnsi="Arial"/>
                <w:sz w:val="18"/>
                <w:szCs w:val="18"/>
                <w:color w:val="auto"/>
              </w:rPr>
              <w:t>+44 (0) 20 3727 1000</w:t>
            </w:r>
          </w:p>
        </w:tc>
        <w:tc>
          <w:tcPr>
            <w:tcW w:w="134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+1 774 278 8273</w:t>
            </w:r>
          </w:p>
        </w:tc>
      </w:tr>
      <w:tr>
        <w:trPr>
          <w:trHeight w:val="190"/>
        </w:trPr>
        <w:tc>
          <w:tcPr>
            <w:tcW w:w="2920" w:type="dxa"/>
            <w:vAlign w:val="bottom"/>
            <w:gridSpan w:val="2"/>
          </w:tcPr>
          <w:p>
            <w:pPr>
              <w:spacing w:after="0" w:line="190" w:lineRule="exact"/>
              <w:rPr>
                <w:sz w:val="20"/>
                <w:szCs w:val="20"/>
                <w:color w:val="auto"/>
              </w:rPr>
            </w:pPr>
            <w:r>
              <w:rPr>
                <w:rFonts w:ascii="Arial" w:cs="Arial" w:eastAsia="Arial" w:hAnsi="Arial"/>
                <w:sz w:val="18"/>
                <w:szCs w:val="18"/>
                <w:color w:val="auto"/>
              </w:rPr>
              <w:t>amt@puretechhealth.com</w:t>
            </w:r>
          </w:p>
        </w:tc>
        <w:tc>
          <w:tcPr>
            <w:tcW w:w="4680" w:type="dxa"/>
            <w:vAlign w:val="bottom"/>
            <w:gridSpan w:val="3"/>
          </w:tcPr>
          <w:p>
            <w:pPr>
              <w:ind w:left="1060"/>
              <w:spacing w:after="0" w:line="190" w:lineRule="exact"/>
              <w:rPr>
                <w:sz w:val="20"/>
                <w:szCs w:val="20"/>
                <w:color w:val="auto"/>
              </w:rPr>
            </w:pPr>
            <w:r>
              <w:rPr>
                <w:rFonts w:ascii="Arial" w:cs="Arial" w:eastAsia="Arial" w:hAnsi="Arial"/>
                <w:sz w:val="18"/>
                <w:szCs w:val="18"/>
                <w:color w:val="auto"/>
              </w:rPr>
              <w:t>ben.atwell@FTIconsulting.com</w:t>
            </w:r>
          </w:p>
        </w:tc>
        <w:tc>
          <w:tcPr>
            <w:tcW w:w="2920" w:type="dxa"/>
            <w:vAlign w:val="bottom"/>
          </w:tcPr>
          <w:p>
            <w:pPr>
              <w:ind w:left="20"/>
              <w:spacing w:after="0" w:line="190" w:lineRule="exact"/>
              <w:rPr>
                <w:sz w:val="20"/>
                <w:szCs w:val="20"/>
                <w:color w:val="auto"/>
              </w:rPr>
            </w:pPr>
            <w:r>
              <w:rPr>
                <w:rFonts w:ascii="Arial" w:cs="Arial" w:eastAsia="Arial" w:hAnsi="Arial"/>
                <w:sz w:val="18"/>
                <w:szCs w:val="18"/>
                <w:color w:val="auto"/>
                <w:w w:val="90"/>
              </w:rPr>
              <w:t>nichole@tenbridgecommunications.com</w:t>
            </w:r>
          </w:p>
        </w:tc>
      </w:tr>
      <w:tr>
        <w:trPr>
          <w:trHeight w:val="466"/>
        </w:trPr>
        <w:tc>
          <w:tcPr>
            <w:tcW w:w="18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2021-11-09T05:21:10Z</dcterms:created>
  <dcterms:modified xsi:type="dcterms:W3CDTF">2021-11-09T05:21:10Z</dcterms:modified>
</cp:coreProperties>
</file>