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78949d6k.htm"/>
      <w:bookmarkStart w:id="1" w:name="ksd478949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During the month ended July 31, 2023, the Company had the following daily purchases of its own Ordinary Shares under the Program through Jefferies: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1"/>
        <w:gridCol w:w="120"/>
        <w:gridCol w:w="1963"/>
        <w:gridCol w:w="120"/>
        <w:gridCol w:w="1925"/>
        <w:gridCol w:w="120"/>
        <w:gridCol w:w="1925"/>
        <w:gridCol w:w="120"/>
        <w:gridCol w:w="1841"/>
      </w:tblGrid>
      <w:tr>
        <w:trPr/>
        <w:tc>
          <w:tcPr>
            <w:tcW w:w="20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1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Ordinary Shares</w:t>
              <w:br/>
              <w:t>Repurchased</w:t>
            </w:r>
          </w:p>
        </w:tc>
        <w:tc>
          <w:tcPr>
            <w:tcW w:w="120"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Volume Weighted</w:t>
            </w:r>
          </w:p>
          <w:p>
            <w:pPr>
              <w:pStyle w:val="TableContents"/>
              <w:bidi w:val="0"/>
              <w:spacing w:before="0" w:after="0"/>
              <w:jc w:val="center"/>
              <w:rPr>
                <w:rFonts w:ascii="Times New Roman" w:hAnsi="Times New Roman"/>
                <w:b/>
                <w:sz w:val="16"/>
              </w:rPr>
            </w:pPr>
            <w:r>
              <w:rPr>
                <w:rFonts w:ascii="Times New Roman" w:hAnsi="Times New Roman"/>
                <w:b/>
                <w:sz w:val="16"/>
              </w:rPr>
              <w:t>Average Price Paid</w:t>
            </w:r>
          </w:p>
          <w:p>
            <w:pPr>
              <w:pStyle w:val="TableContents"/>
              <w:bidi w:val="0"/>
              <w:spacing w:before="0" w:after="20"/>
              <w:jc w:val="center"/>
              <w:rPr>
                <w:rFonts w:ascii="Times New Roman" w:hAnsi="Times New Roman"/>
                <w:b/>
                <w:sz w:val="16"/>
              </w:rPr>
            </w:pPr>
            <w:r>
              <w:rPr>
                <w:rFonts w:ascii="Times New Roman" w:hAnsi="Times New Roman"/>
                <w:b/>
                <w:sz w:val="16"/>
              </w:rPr>
              <w:t>per Ordinary Share</w:t>
            </w:r>
          </w:p>
        </w:tc>
        <w:tc>
          <w:tcPr>
            <w:tcW w:w="120"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Highest Price Paid</w:t>
            </w:r>
          </w:p>
        </w:tc>
        <w:tc>
          <w:tcPr>
            <w:tcW w:w="120" w:type="dxa"/>
            <w:tcBorders/>
            <w:vAlign w:val="bottom"/>
          </w:tcPr>
          <w:p>
            <w:pPr>
              <w:pStyle w:val="TableContents"/>
              <w:bidi w:val="0"/>
              <w:spacing w:before="0" w:after="283"/>
              <w:jc w:val="left"/>
              <w:rPr/>
            </w:pPr>
            <w:r>
              <w:rPr/>
              <w:t>  </w:t>
            </w:r>
          </w:p>
        </w:tc>
        <w:tc>
          <w:tcPr>
            <w:tcW w:w="18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Lowest Price Paid</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3,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52,542</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221.63p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223.50p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219.50p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4,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50,808</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224.50p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226.00p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218.00p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5,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50,935</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224.80p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228.00p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220.50p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6,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48,119</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222.82p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224.50p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221.50p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7,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45,925</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218.46p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220.50p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216.00p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10,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49,838</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220.49p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221.50p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218.00p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11,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49,568</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220.08p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222.00p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218.50p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12,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49,535</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222.03p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225.50p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219.00p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13,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47,674</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219.71p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220.00p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217.00p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14,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49,341</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215.62p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218.50p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214.50p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17,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42,082</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214.16p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218.00p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211.50p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18,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42,100</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212.97p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218.00p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210.50p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19,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41,397</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225.33p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227.50p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221.00p</w:t>
            </w:r>
          </w:p>
        </w:tc>
      </w:tr>
      <w:tr>
        <w:trPr/>
        <w:tc>
          <w:tcPr>
            <w:tcW w:w="2071" w:type="dxa"/>
            <w:tcBorders/>
          </w:tcPr>
          <w:p>
            <w:pPr>
              <w:pStyle w:val="TableContents"/>
              <w:bidi w:val="0"/>
              <w:spacing w:before="0" w:after="0"/>
              <w:jc w:val="center"/>
              <w:rPr>
                <w:rFonts w:ascii="Times New Roman" w:hAnsi="Times New Roman"/>
                <w:sz w:val="20"/>
              </w:rPr>
            </w:pPr>
            <w:r>
              <w:rPr>
                <w:rFonts w:ascii="Times New Roman" w:hAnsi="Times New Roman"/>
                <w:sz w:val="20"/>
              </w:rPr>
              <w:t>July 20, 2023</w:t>
            </w:r>
          </w:p>
        </w:tc>
        <w:tc>
          <w:tcPr>
            <w:tcW w:w="120"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center"/>
              <w:rPr/>
            </w:pPr>
            <w:r>
              <w:rPr/>
              <w:t>20,040</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227.11p</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227.50p</w:t>
            </w:r>
          </w:p>
        </w:tc>
        <w:tc>
          <w:tcPr>
            <w:tcW w:w="120"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283"/>
              <w:jc w:val="center"/>
              <w:rPr/>
            </w:pPr>
            <w:r>
              <w:rPr/>
              <w:t>224.50p</w:t>
            </w:r>
          </w:p>
        </w:tc>
      </w:tr>
      <w:tr>
        <w:trPr/>
        <w:tc>
          <w:tcPr>
            <w:tcW w:w="2071"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21, 2023</w:t>
            </w:r>
          </w:p>
        </w:tc>
        <w:tc>
          <w:tcPr>
            <w:tcW w:w="120"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center"/>
              <w:rPr/>
            </w:pPr>
            <w:r>
              <w:rPr/>
              <w:t>43,256</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229.62p</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230.00p</w:t>
            </w:r>
          </w:p>
        </w:tc>
        <w:tc>
          <w:tcPr>
            <w:tcW w:w="120"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center"/>
              <w:rPr/>
            </w:pPr>
            <w:r>
              <w:rPr/>
              <w:t>227.00p</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090"/>
        <w:gridCol w:w="120"/>
        <w:gridCol w:w="1910"/>
        <w:gridCol w:w="120"/>
        <w:gridCol w:w="1938"/>
        <w:gridCol w:w="120"/>
        <w:gridCol w:w="1938"/>
        <w:gridCol w:w="120"/>
        <w:gridCol w:w="1849"/>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24, 2023</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center"/>
              <w:rPr/>
            </w:pPr>
            <w:r>
              <w:rPr/>
              <w:t>42,666</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227.86p</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232.00p</w:t>
            </w:r>
          </w:p>
        </w:tc>
        <w:tc>
          <w:tcPr>
            <w:tcW w:w="120"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center"/>
              <w:rPr/>
            </w:pPr>
            <w:r>
              <w:rPr/>
              <w:t>224.50p</w:t>
            </w:r>
          </w:p>
        </w:tc>
      </w:tr>
      <w:tr>
        <w:trPr/>
        <w:tc>
          <w:tcPr>
            <w:tcW w:w="2090" w:type="dxa"/>
            <w:tcBorders/>
          </w:tcPr>
          <w:p>
            <w:pPr>
              <w:pStyle w:val="TableContents"/>
              <w:bidi w:val="0"/>
              <w:spacing w:before="0" w:after="0"/>
              <w:jc w:val="center"/>
              <w:rPr>
                <w:rFonts w:ascii="Times New Roman" w:hAnsi="Times New Roman"/>
                <w:sz w:val="20"/>
              </w:rPr>
            </w:pPr>
            <w:r>
              <w:rPr>
                <w:rFonts w:ascii="Times New Roman" w:hAnsi="Times New Roman"/>
                <w:sz w:val="20"/>
              </w:rPr>
              <w:t>July 25, 2023</w:t>
            </w:r>
          </w:p>
        </w:tc>
        <w:tc>
          <w:tcPr>
            <w:tcW w:w="12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center"/>
              <w:rPr/>
            </w:pPr>
            <w:r>
              <w:rPr/>
              <w:t>35,701</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225.57p</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227.50p</w:t>
            </w:r>
          </w:p>
        </w:tc>
        <w:tc>
          <w:tcPr>
            <w:tcW w:w="120"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center"/>
              <w:rPr/>
            </w:pPr>
            <w:r>
              <w:rPr/>
              <w:t>219.50p</w:t>
            </w:r>
          </w:p>
        </w:tc>
      </w:tr>
      <w:tr>
        <w:trPr/>
        <w:tc>
          <w:tcPr>
            <w:tcW w:w="209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26, 2023</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center"/>
              <w:rPr/>
            </w:pPr>
            <w:r>
              <w:rPr/>
              <w:t>37,881</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228.14p</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231.00p</w:t>
            </w:r>
          </w:p>
        </w:tc>
        <w:tc>
          <w:tcPr>
            <w:tcW w:w="120"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center"/>
              <w:rPr/>
            </w:pPr>
            <w:r>
              <w:rPr/>
              <w:t>226.00p</w:t>
            </w:r>
          </w:p>
        </w:tc>
      </w:tr>
      <w:tr>
        <w:trPr/>
        <w:tc>
          <w:tcPr>
            <w:tcW w:w="2090" w:type="dxa"/>
            <w:tcBorders/>
          </w:tcPr>
          <w:p>
            <w:pPr>
              <w:pStyle w:val="TableContents"/>
              <w:bidi w:val="0"/>
              <w:spacing w:before="0" w:after="0"/>
              <w:jc w:val="center"/>
              <w:rPr>
                <w:rFonts w:ascii="Times New Roman" w:hAnsi="Times New Roman"/>
                <w:sz w:val="20"/>
              </w:rPr>
            </w:pPr>
            <w:r>
              <w:rPr>
                <w:rFonts w:ascii="Times New Roman" w:hAnsi="Times New Roman"/>
                <w:sz w:val="20"/>
              </w:rPr>
              <w:t>July 27, 2023</w:t>
            </w:r>
          </w:p>
        </w:tc>
        <w:tc>
          <w:tcPr>
            <w:tcW w:w="12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center"/>
              <w:rPr/>
            </w:pPr>
            <w:r>
              <w:rPr/>
              <w:t>34,923</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227.91p</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230.50p</w:t>
            </w:r>
          </w:p>
        </w:tc>
        <w:tc>
          <w:tcPr>
            <w:tcW w:w="120"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center"/>
              <w:rPr/>
            </w:pPr>
            <w:r>
              <w:rPr/>
              <w:t>226.00p</w:t>
            </w:r>
          </w:p>
        </w:tc>
      </w:tr>
      <w:tr>
        <w:trPr/>
        <w:tc>
          <w:tcPr>
            <w:tcW w:w="209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July 28, 2023</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center"/>
              <w:rPr/>
            </w:pPr>
            <w:r>
              <w:rPr/>
              <w:t>37,075</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228.79p</w:t>
            </w:r>
          </w:p>
        </w:tc>
        <w:tc>
          <w:tcPr>
            <w:tcW w:w="120" w:type="dxa"/>
            <w:tcBorders/>
            <w:shd w:fill="CCEEFF" w:val="clear"/>
            <w:vAlign w:val="bottom"/>
          </w:tcPr>
          <w:p>
            <w:pPr>
              <w:pStyle w:val="TableContents"/>
              <w:bidi w:val="0"/>
              <w:spacing w:before="0" w:after="283"/>
              <w:jc w:val="left"/>
              <w:rPr/>
            </w:pPr>
            <w:r>
              <w:rPr/>
              <w:t>  </w:t>
            </w:r>
          </w:p>
        </w:tc>
        <w:tc>
          <w:tcPr>
            <w:tcW w:w="1938" w:type="dxa"/>
            <w:tcBorders/>
            <w:shd w:fill="CCEEFF" w:val="clear"/>
            <w:vAlign w:val="bottom"/>
          </w:tcPr>
          <w:p>
            <w:pPr>
              <w:pStyle w:val="TableContents"/>
              <w:bidi w:val="0"/>
              <w:spacing w:before="0" w:after="283"/>
              <w:jc w:val="center"/>
              <w:rPr/>
            </w:pPr>
            <w:r>
              <w:rPr/>
              <w:t>230.00p</w:t>
            </w:r>
          </w:p>
        </w:tc>
        <w:tc>
          <w:tcPr>
            <w:tcW w:w="120"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center"/>
              <w:rPr/>
            </w:pPr>
            <w:r>
              <w:rPr/>
              <w:t>226.00p</w:t>
            </w:r>
          </w:p>
        </w:tc>
      </w:tr>
      <w:tr>
        <w:trPr/>
        <w:tc>
          <w:tcPr>
            <w:tcW w:w="2090" w:type="dxa"/>
            <w:tcBorders/>
          </w:tcPr>
          <w:p>
            <w:pPr>
              <w:pStyle w:val="TableContents"/>
              <w:bidi w:val="0"/>
              <w:spacing w:before="0" w:after="0"/>
              <w:jc w:val="center"/>
              <w:rPr>
                <w:rFonts w:ascii="Times New Roman" w:hAnsi="Times New Roman"/>
                <w:sz w:val="20"/>
              </w:rPr>
            </w:pPr>
            <w:r>
              <w:rPr>
                <w:rFonts w:ascii="Times New Roman" w:hAnsi="Times New Roman"/>
                <w:sz w:val="20"/>
              </w:rPr>
              <w:t>July 31, 2023</w:t>
            </w:r>
          </w:p>
        </w:tc>
        <w:tc>
          <w:tcPr>
            <w:tcW w:w="120"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center"/>
              <w:rPr/>
            </w:pPr>
            <w:r>
              <w:rPr/>
              <w:t>34,963</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226.31p</w:t>
            </w:r>
          </w:p>
        </w:tc>
        <w:tc>
          <w:tcPr>
            <w:tcW w:w="120" w:type="dxa"/>
            <w:tcBorders/>
            <w:vAlign w:val="bottom"/>
          </w:tcPr>
          <w:p>
            <w:pPr>
              <w:pStyle w:val="TableContents"/>
              <w:bidi w:val="0"/>
              <w:spacing w:before="0" w:after="283"/>
              <w:jc w:val="left"/>
              <w:rPr/>
            </w:pPr>
            <w:r>
              <w:rPr/>
              <w:t>  </w:t>
            </w:r>
          </w:p>
        </w:tc>
        <w:tc>
          <w:tcPr>
            <w:tcW w:w="1938" w:type="dxa"/>
            <w:tcBorders/>
            <w:vAlign w:val="bottom"/>
          </w:tcPr>
          <w:p>
            <w:pPr>
              <w:pStyle w:val="TableContents"/>
              <w:bidi w:val="0"/>
              <w:spacing w:before="0" w:after="283"/>
              <w:jc w:val="center"/>
              <w:rPr/>
            </w:pPr>
            <w:r>
              <w:rPr/>
              <w:t>229.50p</w:t>
            </w:r>
          </w:p>
        </w:tc>
        <w:tc>
          <w:tcPr>
            <w:tcW w:w="120"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center"/>
              <w:rPr/>
            </w:pPr>
            <w:r>
              <w:rPr/>
              <w:t>222.50p</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month ended July 31, 2023, the Company repurchased an aggregate of 906,369 Ordinary Shares. As of July 31, 2023, the Companys issued share capital was 289,468,159 shares, 13,409,665 of which were held in treasury, resulting in total voting rights in the Company of 276,058,494 shares. To view the details of the individual transactions, please paste the following URL(s) into the address bar of your browser with respect to each individual date of repurchase under the Program: </w:t>
      </w:r>
    </w:p>
    <w:p>
      <w:pPr>
        <w:pStyle w:val="TextBody"/>
        <w:bidi w:val="0"/>
        <w:spacing w:before="120" w:after="0"/>
        <w:jc w:val="left"/>
        <w:rPr>
          <w:rFonts w:ascii="Times New Roman" w:hAnsi="Times New Roman"/>
          <w:sz w:val="20"/>
        </w:rPr>
      </w:pPr>
      <w:r>
        <w:rPr>
          <w:rFonts w:ascii="Times New Roman" w:hAnsi="Times New Roman"/>
          <w:sz w:val="20"/>
        </w:rPr>
        <w:t xml:space="preserve">July 3, 2023: </w:t>
      </w:r>
      <w:r>
        <w:rPr>
          <w:rFonts w:ascii="Times New Roman" w:hAnsi="Times New Roman"/>
          <w:sz w:val="20"/>
          <w:u w:val="single"/>
        </w:rPr>
        <w:t>https://data.fca.org.uk/artefacts/NSM/RNS/4823588.html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4, 2023: </w:t>
      </w:r>
      <w:r>
        <w:rPr>
          <w:rFonts w:ascii="Times New Roman" w:hAnsi="Times New Roman"/>
          <w:sz w:val="20"/>
          <w:u w:val="single"/>
        </w:rPr>
        <w:t>https://data.fca.org.uk/artefacts/NSM/RNS/4825010.html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5, 2023: </w:t>
      </w:r>
      <w:r>
        <w:rPr>
          <w:rFonts w:ascii="Times New Roman" w:hAnsi="Times New Roman"/>
          <w:sz w:val="20"/>
          <w:u w:val="single"/>
        </w:rPr>
        <w:t>https://data.fca.org.uk/artefacts/NSM/RNS/4826362.html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6, 2023: </w:t>
      </w:r>
      <w:r>
        <w:rPr>
          <w:rFonts w:ascii="Times New Roman" w:hAnsi="Times New Roman"/>
          <w:sz w:val="20"/>
          <w:u w:val="single"/>
        </w:rPr>
        <w:t>https://data.fca.org.uk/artefacts/NSM/RNS/4827960.html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7, 2023: </w:t>
      </w:r>
      <w:r>
        <w:rPr>
          <w:rFonts w:ascii="Times New Roman" w:hAnsi="Times New Roman"/>
          <w:sz w:val="20"/>
          <w:u w:val="single"/>
        </w:rPr>
        <w:t>https://data.fca.org.uk/artefacts/NSM/RNS/4829449.html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10, 2023: </w:t>
      </w:r>
      <w:r>
        <w:rPr>
          <w:rFonts w:ascii="Times New Roman" w:hAnsi="Times New Roman"/>
          <w:sz w:val="20"/>
          <w:u w:val="single"/>
        </w:rPr>
        <w:t>https://data.fca.org.uk/artefacts/NSM/RNS/4830934.html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11, 2023: </w:t>
      </w:r>
      <w:r>
        <w:rPr>
          <w:rFonts w:ascii="Times New Roman" w:hAnsi="Times New Roman"/>
          <w:sz w:val="20"/>
          <w:u w:val="single"/>
        </w:rPr>
        <w:t>https://data.fca.org.uk/artefacts/NSM/RNS/4832444.html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12, 2023: </w:t>
      </w:r>
      <w:r>
        <w:rPr>
          <w:rFonts w:ascii="Times New Roman" w:hAnsi="Times New Roman"/>
          <w:sz w:val="20"/>
          <w:u w:val="single"/>
        </w:rPr>
        <w:t>https://data.fca.org.uk/artefacts/NSM/RNS/4833862.html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13, 2023: </w:t>
      </w:r>
      <w:r>
        <w:rPr>
          <w:rFonts w:ascii="Times New Roman" w:hAnsi="Times New Roman"/>
          <w:sz w:val="20"/>
          <w:u w:val="single"/>
        </w:rPr>
        <w:t>https://data.fca.org.uk/artefacts/NSM/RNS/4835234.html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14, 2023: </w:t>
      </w:r>
      <w:r>
        <w:rPr>
          <w:rFonts w:ascii="Times New Roman" w:hAnsi="Times New Roman"/>
          <w:sz w:val="20"/>
          <w:u w:val="single"/>
        </w:rPr>
        <w:t>https://data.fca.org.uk/artefacts/NSM/RNS/4836731.html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18, 2023: </w:t>
      </w:r>
      <w:r>
        <w:rPr>
          <w:rFonts w:ascii="Times New Roman" w:hAnsi="Times New Roman"/>
          <w:sz w:val="20"/>
          <w:u w:val="single"/>
        </w:rPr>
        <w:t>https://data.fca.org.uk/artefacts/NSM/RNS/4839640.html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19, 2023: </w:t>
      </w:r>
      <w:r>
        <w:rPr>
          <w:rFonts w:ascii="Times New Roman" w:hAnsi="Times New Roman"/>
          <w:sz w:val="20"/>
          <w:u w:val="single"/>
        </w:rPr>
        <w:t>https://data.fca.org.uk/artefacts/NSM/RNS/4841104.html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20, 2023: </w:t>
      </w:r>
      <w:r>
        <w:rPr>
          <w:rFonts w:ascii="Times New Roman" w:hAnsi="Times New Roman"/>
          <w:sz w:val="20"/>
          <w:u w:val="single"/>
        </w:rPr>
        <w:t>https://data.fca.org.uk/artefacts/NSM/RNS/4842539.html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21, 2023: </w:t>
      </w:r>
      <w:r>
        <w:rPr>
          <w:rFonts w:ascii="Times New Roman" w:hAnsi="Times New Roman"/>
          <w:sz w:val="20"/>
          <w:u w:val="single"/>
        </w:rPr>
        <w:t>https://data.fca.org.uk/artefacts/NSM/RNS/4843990.html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24, 2023: </w:t>
      </w:r>
      <w:r>
        <w:rPr>
          <w:rFonts w:ascii="Times New Roman" w:hAnsi="Times New Roman"/>
          <w:sz w:val="20"/>
          <w:u w:val="single"/>
        </w:rPr>
        <w:t>https://data.fca.org.uk/artefacts/NSM/RNS/4845558.html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25, 2023: </w:t>
      </w:r>
      <w:r>
        <w:rPr>
          <w:rFonts w:ascii="Times New Roman" w:hAnsi="Times New Roman"/>
          <w:sz w:val="20"/>
          <w:u w:val="single"/>
        </w:rPr>
        <w:t>https://data.fca.org.uk/artefacts/NSM/RNS/4847060.html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26, 2023: </w:t>
      </w:r>
      <w:r>
        <w:rPr>
          <w:rFonts w:ascii="Times New Roman" w:hAnsi="Times New Roman"/>
          <w:sz w:val="20"/>
          <w:u w:val="single"/>
        </w:rPr>
        <w:t>https://data.fca.org.uk/artefacts/NSM/RNS/4848529.html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27, 2023: </w:t>
      </w:r>
      <w:r>
        <w:rPr>
          <w:rFonts w:ascii="Times New Roman" w:hAnsi="Times New Roman"/>
          <w:sz w:val="20"/>
          <w:u w:val="single"/>
        </w:rPr>
        <w:t>https://data.fca.org.uk/artefacts/NSM/RNS/4850197.html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28, 2023: </w:t>
      </w:r>
      <w:r>
        <w:rPr>
          <w:rFonts w:ascii="Times New Roman" w:hAnsi="Times New Roman"/>
          <w:sz w:val="20"/>
          <w:u w:val="single"/>
        </w:rPr>
        <w:t>https://data.fca.org.uk/artefacts/NSM/RNS/4851670.html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July 31, 2023: </w:t>
      </w:r>
      <w:r>
        <w:rPr>
          <w:rFonts w:ascii="Times New Roman" w:hAnsi="Times New Roman"/>
          <w:sz w:val="20"/>
          <w:u w:val="single"/>
        </w:rPr>
        <w:t>https://data.fca.org.uk/artefacts/NSM/RNS/4853443.html</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63"/>
        <w:gridCol w:w="108"/>
        <w:gridCol w:w="450"/>
        <w:gridCol w:w="108"/>
        <w:gridCol w:w="606"/>
        <w:gridCol w:w="108"/>
        <w:gridCol w:w="4462"/>
      </w:tblGrid>
      <w:tr>
        <w:trPr/>
        <w:tc>
          <w:tcPr>
            <w:tcW w:w="436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62" w:type="dxa"/>
            <w:tcBorders/>
            <w:vAlign w:val="center"/>
          </w:tcPr>
          <w:p>
            <w:pPr>
              <w:pStyle w:val="TableContents"/>
              <w:bidi w:val="0"/>
              <w:spacing w:before="0" w:after="283"/>
              <w:jc w:val="left"/>
              <w:rPr>
                <w:sz w:val="4"/>
                <w:szCs w:val="4"/>
              </w:rPr>
            </w:pPr>
            <w:r>
              <w:rPr>
                <w:sz w:val="4"/>
                <w:szCs w:val="4"/>
              </w:rPr>
            </w:r>
          </w:p>
        </w:tc>
      </w:tr>
      <w:tr>
        <w:trPr/>
        <w:tc>
          <w:tcPr>
            <w:tcW w:w="436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734" w:type="dxa"/>
            <w:gridSpan w:val="5"/>
            <w:tcBorders/>
            <w:vAlign w:val="bottom"/>
          </w:tcPr>
          <w:p>
            <w:pPr>
              <w:pStyle w:val="TableContents"/>
              <w:bidi w:val="0"/>
              <w:spacing w:before="0" w:after="283"/>
              <w:jc w:val="left"/>
              <w:rPr/>
            </w:pPr>
            <w:r>
              <w:rPr/>
              <w:t>PURETECH HEALTH PLC</w:t>
            </w:r>
          </w:p>
        </w:tc>
      </w:tr>
      <w:tr>
        <w:trPr>
          <w:trHeight w:val="240" w:hRule="atLeast"/>
        </w:trPr>
        <w:tc>
          <w:tcPr>
            <w:tcW w:w="4363" w:type="dxa"/>
            <w:tcBorders/>
            <w:vAlign w:val="center"/>
          </w:tcPr>
          <w:p>
            <w:pPr>
              <w:pStyle w:val="TableContents"/>
              <w:bidi w:val="0"/>
              <w:spacing w:before="0" w:after="283"/>
              <w:jc w:val="left"/>
              <w:rPr>
                <w:sz w:val="4"/>
                <w:szCs w:val="4"/>
              </w:rPr>
            </w:pPr>
            <w:r>
              <w:rPr>
                <w:sz w:val="4"/>
                <w:szCs w:val="4"/>
              </w:rPr>
            </w:r>
          </w:p>
        </w:tc>
        <w:tc>
          <w:tcPr>
            <w:tcW w:w="558" w:type="dxa"/>
            <w:gridSpan w:val="2"/>
            <w:tcBorders/>
            <w:vAlign w:val="center"/>
          </w:tcPr>
          <w:p>
            <w:pPr>
              <w:pStyle w:val="TableContents"/>
              <w:bidi w:val="0"/>
              <w:spacing w:before="0" w:after="283"/>
              <w:jc w:val="left"/>
              <w:rPr>
                <w:sz w:val="4"/>
                <w:szCs w:val="4"/>
              </w:rPr>
            </w:pPr>
            <w:r>
              <w:rPr>
                <w:sz w:val="4"/>
                <w:szCs w:val="4"/>
              </w:rPr>
            </w:r>
          </w:p>
        </w:tc>
        <w:tc>
          <w:tcPr>
            <w:tcW w:w="5284" w:type="dxa"/>
            <w:gridSpan w:val="4"/>
            <w:tcBorders/>
            <w:vAlign w:val="center"/>
          </w:tcPr>
          <w:p>
            <w:pPr>
              <w:pStyle w:val="TableContents"/>
              <w:bidi w:val="0"/>
              <w:spacing w:before="0" w:after="283"/>
              <w:jc w:val="left"/>
              <w:rPr>
                <w:sz w:val="4"/>
                <w:szCs w:val="4"/>
              </w:rPr>
            </w:pPr>
            <w:r>
              <w:rPr>
                <w:sz w:val="4"/>
                <w:szCs w:val="4"/>
              </w:rPr>
            </w:r>
          </w:p>
        </w:tc>
      </w:tr>
      <w:tr>
        <w:trPr/>
        <w:tc>
          <w:tcPr>
            <w:tcW w:w="4363" w:type="dxa"/>
            <w:tcBorders/>
            <w:vAlign w:val="bottom"/>
          </w:tcPr>
          <w:p>
            <w:pPr>
              <w:pStyle w:val="TableContents"/>
              <w:bidi w:val="0"/>
              <w:spacing w:before="0" w:after="283"/>
              <w:jc w:val="left"/>
              <w:rPr/>
            </w:pPr>
            <w:r>
              <w:rPr/>
              <w:t>Date: August 2, 2023</w:t>
            </w:r>
          </w:p>
        </w:tc>
        <w:tc>
          <w:tcPr>
            <w:tcW w:w="108"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5176" w:type="dxa"/>
            <w:gridSpan w:val="3"/>
            <w:tcBorders>
              <w:bottom w:val="single" w:sz="2" w:space="0" w:color="000000"/>
            </w:tcBorders>
            <w:tcMar>
              <w:bottom w:w="28" w:type="dxa"/>
            </w:tcMar>
            <w:vAlign w:val="bottom"/>
          </w:tcPr>
          <w:p>
            <w:pPr>
              <w:pStyle w:val="TableContents"/>
              <w:bidi w:val="0"/>
              <w:spacing w:before="0" w:after="283"/>
              <w:jc w:val="left"/>
              <w:rPr/>
            </w:pPr>
            <w:r>
              <w:rPr/>
              <w:t>/s/ Daphne Zohar</w:t>
            </w:r>
          </w:p>
        </w:tc>
      </w:tr>
      <w:tr>
        <w:trPr/>
        <w:tc>
          <w:tcPr>
            <w:tcW w:w="436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62" w:type="dxa"/>
            <w:tcBorders/>
            <w:vAlign w:val="bottom"/>
          </w:tcPr>
          <w:p>
            <w:pPr>
              <w:pStyle w:val="TableContents"/>
              <w:bidi w:val="0"/>
              <w:spacing w:before="0" w:after="283"/>
              <w:jc w:val="left"/>
              <w:rPr/>
            </w:pPr>
            <w:r>
              <w:rPr/>
              <w:t>Daphne Zohar</w:t>
            </w:r>
          </w:p>
        </w:tc>
      </w:tr>
      <w:tr>
        <w:trPr/>
        <w:tc>
          <w:tcPr>
            <w:tcW w:w="436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62"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838</Words>
  <Characters>5272</Characters>
  <CharactersWithSpaces>6185</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