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(Amendment No. 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Karuna Therapeutics,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48576A100</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PureTech Health LLC</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6 Tide Street, Suite 400</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Boston, MA 02210</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(617) 482-2333</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February 9, 2021</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 w:right="1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93" w:lineRule="exact"/>
        <w:rPr>
          <w:sz w:val="24"/>
          <w:szCs w:val="24"/>
          <w:color w:val="auto"/>
        </w:rPr>
      </w:pPr>
    </w:p>
    <w:p>
      <w:pPr>
        <w:ind w:left="4"/>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 240.13d-7(b)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21" w:lineRule="exact"/>
        <w:rPr>
          <w:sz w:val="24"/>
          <w:szCs w:val="24"/>
          <w:color w:val="auto"/>
        </w:rPr>
      </w:pPr>
    </w:p>
    <w:p>
      <w:pPr>
        <w:ind w:left="424" w:hanging="424"/>
        <w:spacing w:after="0" w:line="30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u w:val="single" w:color="auto"/>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194310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368" w:right="5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13D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No. 48576A100</w:t>
      </w:r>
    </w:p>
    <w:p>
      <w:pPr>
        <w:spacing w:after="0" w:line="270" w:lineRule="exact"/>
        <w:rPr>
          <w:sz w:val="20"/>
          <w:szCs w:val="20"/>
          <w:color w:val="auto"/>
        </w:rPr>
      </w:pPr>
    </w:p>
    <w:p>
      <w:pPr>
        <w:ind w:left="620" w:hanging="377"/>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3415"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PureTech Health LLC</w:t>
      </w:r>
    </w:p>
    <w:p>
      <w:pPr>
        <w:spacing w:after="0" w:line="36" w:lineRule="exact"/>
        <w:rPr>
          <w:sz w:val="20"/>
          <w:szCs w:val="20"/>
          <w:color w:val="auto"/>
        </w:rPr>
      </w:pPr>
    </w:p>
    <w:p>
      <w:pPr>
        <w:ind w:left="620" w:hanging="377"/>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WC</w:t>
      </w:r>
    </w:p>
    <w:p>
      <w:pPr>
        <w:spacing w:after="0" w:line="36" w:lineRule="exact"/>
        <w:rPr>
          <w:sz w:val="20"/>
          <w:szCs w:val="20"/>
          <w:color w:val="auto"/>
        </w:rPr>
      </w:pPr>
    </w:p>
    <w:p>
      <w:pPr>
        <w:ind w:left="620" w:hanging="377"/>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color w:val="auto"/>
        </w:rPr>
        <w:t>7</w:t>
      </w:r>
      <w:r>
        <w:rPr>
          <w:rFonts w:ascii="Arial" w:cs="Arial" w:eastAsia="Arial" w:hAnsi="Arial"/>
          <w:sz w:val="17"/>
          <w:szCs w:val="17"/>
          <w:color w:val="auto"/>
        </w:rPr>
        <w:t>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560" w:type="dxa"/>
            <w:vAlign w:val="bottom"/>
            <w:tcBorders>
              <w:bottom w:val="single" w:sz="8" w:color="auto"/>
            </w:tcBorders>
          </w:tcPr>
          <w:p>
            <w:pPr>
              <w:spacing w:after="0"/>
              <w:rPr>
                <w:sz w:val="21"/>
                <w:szCs w:val="21"/>
                <w:color w:val="auto"/>
              </w:rPr>
            </w:pPr>
          </w:p>
        </w:tc>
        <w:tc>
          <w:tcPr>
            <w:tcW w:w="88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888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560" w:type="dxa"/>
            <w:vAlign w:val="bottom"/>
          </w:tcPr>
          <w:p>
            <w:pPr>
              <w:spacing w:after="0"/>
              <w:rPr>
                <w:sz w:val="18"/>
                <w:szCs w:val="18"/>
                <w:color w:val="auto"/>
              </w:rPr>
            </w:pPr>
          </w:p>
        </w:tc>
        <w:tc>
          <w:tcPr>
            <w:tcW w:w="8880" w:type="dxa"/>
            <w:vAlign w:val="bottom"/>
            <w:vMerge w:val="restart"/>
          </w:tcPr>
          <w:p>
            <w:pPr>
              <w:ind w:left="160"/>
              <w:spacing w:after="0"/>
              <w:rPr>
                <w:sz w:val="20"/>
                <w:szCs w:val="20"/>
                <w:color w:val="auto"/>
              </w:rPr>
            </w:pPr>
            <w:r>
              <w:rPr>
                <w:rFonts w:ascii="Arial" w:cs="Arial" w:eastAsia="Arial" w:hAnsi="Arial"/>
                <w:sz w:val="18"/>
                <w:szCs w:val="18"/>
                <w:color w:val="auto"/>
              </w:rPr>
              <w:t>2,406,564</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560" w:type="dxa"/>
            <w:vAlign w:val="bottom"/>
            <w:tcBorders>
              <w:bottom w:val="single" w:sz="8" w:color="auto"/>
            </w:tcBorders>
          </w:tcPr>
          <w:p>
            <w:pPr>
              <w:spacing w:after="0"/>
              <w:rPr>
                <w:sz w:val="20"/>
                <w:szCs w:val="20"/>
                <w:color w:val="auto"/>
              </w:rPr>
            </w:pPr>
          </w:p>
        </w:tc>
        <w:tc>
          <w:tcPr>
            <w:tcW w:w="88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560" w:type="dxa"/>
            <w:vAlign w:val="bottom"/>
          </w:tcPr>
          <w:p>
            <w:pPr>
              <w:jc w:val="right"/>
              <w:ind w:right="90"/>
              <w:spacing w:after="0" w:line="182" w:lineRule="exact"/>
              <w:rPr>
                <w:sz w:val="20"/>
                <w:szCs w:val="20"/>
                <w:color w:val="auto"/>
              </w:rPr>
            </w:pPr>
            <w:r>
              <w:rPr>
                <w:rFonts w:ascii="Arial" w:cs="Arial" w:eastAsia="Arial" w:hAnsi="Arial"/>
                <w:sz w:val="18"/>
                <w:szCs w:val="18"/>
                <w:color w:val="auto"/>
              </w:rPr>
              <w:t>9</w:t>
            </w:r>
          </w:p>
        </w:tc>
        <w:tc>
          <w:tcPr>
            <w:tcW w:w="888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56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560" w:type="dxa"/>
            <w:vAlign w:val="bottom"/>
          </w:tcPr>
          <w:p>
            <w:pPr>
              <w:spacing w:after="0"/>
              <w:rPr>
                <w:sz w:val="18"/>
                <w:szCs w:val="18"/>
                <w:color w:val="auto"/>
              </w:rPr>
            </w:pPr>
          </w:p>
        </w:tc>
        <w:tc>
          <w:tcPr>
            <w:tcW w:w="888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560" w:type="dxa"/>
            <w:vAlign w:val="bottom"/>
            <w:tcBorders>
              <w:bottom w:val="single" w:sz="8" w:color="auto"/>
            </w:tcBorders>
          </w:tcPr>
          <w:p>
            <w:pPr>
              <w:spacing w:after="0"/>
              <w:rPr>
                <w:sz w:val="5"/>
                <w:szCs w:val="5"/>
                <w:color w:val="auto"/>
              </w:rPr>
            </w:pPr>
          </w:p>
        </w:tc>
        <w:tc>
          <w:tcPr>
            <w:tcW w:w="8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560" w:type="dxa"/>
            <w:vAlign w:val="bottom"/>
            <w:vMerge w:val="restart"/>
          </w:tcPr>
          <w:p>
            <w:pPr>
              <w:jc w:val="right"/>
              <w:ind w:right="90"/>
              <w:spacing w:after="0"/>
              <w:rPr>
                <w:sz w:val="20"/>
                <w:szCs w:val="20"/>
                <w:color w:val="auto"/>
              </w:rPr>
            </w:pPr>
            <w:r>
              <w:rPr>
                <w:rFonts w:ascii="Arial" w:cs="Arial" w:eastAsia="Arial" w:hAnsi="Arial"/>
                <w:sz w:val="18"/>
                <w:szCs w:val="18"/>
                <w:color w:val="auto"/>
              </w:rPr>
              <w:t>10</w:t>
            </w:r>
          </w:p>
        </w:tc>
        <w:tc>
          <w:tcPr>
            <w:tcW w:w="888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8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2,406,564</w:t>
      </w:r>
    </w:p>
    <w:p>
      <w:pPr>
        <w:spacing w:after="0" w:line="36" w:lineRule="exact"/>
        <w:rPr>
          <w:sz w:val="20"/>
          <w:szCs w:val="20"/>
          <w:color w:val="auto"/>
        </w:rPr>
      </w:pPr>
    </w:p>
    <w:p>
      <w:pPr>
        <w:ind w:left="620" w:right="3860" w:hanging="467"/>
        <w:spacing w:after="0" w:line="406" w:lineRule="auto"/>
        <w:tabs>
          <w:tab w:leader="none" w:pos="610" w:val="left"/>
        </w:tabs>
        <w:numPr>
          <w:ilvl w:val="1"/>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2,406,564</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hanging="467"/>
        <w:spacing w:after="0"/>
        <w:tabs>
          <w:tab w:leader="none" w:pos="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9.0%*</w:t>
      </w:r>
    </w:p>
    <w:p>
      <w:pPr>
        <w:spacing w:after="0" w:line="36" w:lineRule="exact"/>
        <w:rPr>
          <w:rFonts w:ascii="Arial" w:cs="Arial" w:eastAsia="Arial" w:hAnsi="Arial"/>
          <w:sz w:val="18"/>
          <w:szCs w:val="18"/>
          <w:color w:val="auto"/>
        </w:rPr>
      </w:pPr>
    </w:p>
    <w:p>
      <w:pPr>
        <w:ind w:left="600" w:hanging="447"/>
        <w:spacing w:after="0"/>
        <w:tabs>
          <w:tab w:leader="none" w:pos="6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25" w:lineRule="exact"/>
        <w:rPr>
          <w:rFonts w:ascii="Arial" w:cs="Arial" w:eastAsia="Arial" w:hAnsi="Arial"/>
          <w:sz w:val="18"/>
          <w:szCs w:val="18"/>
          <w:color w:val="auto"/>
        </w:rPr>
      </w:pPr>
    </w:p>
    <w:p>
      <w:pPr>
        <w:ind w:left="420" w:right="600" w:hanging="432"/>
        <w:spacing w:after="0" w:line="34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This percentage is calculated based upon 26,806,566 shares of common stock outstanding of Karuna Therapeutics, Inc. (the “</w:t>
      </w:r>
      <w:r>
        <w:rPr>
          <w:rFonts w:ascii="Arial" w:cs="Arial" w:eastAsia="Arial" w:hAnsi="Arial"/>
          <w:sz w:val="16"/>
          <w:szCs w:val="16"/>
          <w:u w:val="single" w:color="auto"/>
          <w:color w:val="auto"/>
        </w:rPr>
        <w:t>Issuer</w:t>
      </w:r>
      <w:r>
        <w:rPr>
          <w:rFonts w:ascii="Arial" w:cs="Arial" w:eastAsia="Arial" w:hAnsi="Arial"/>
          <w:sz w:val="16"/>
          <w:szCs w:val="16"/>
          <w:color w:val="auto"/>
        </w:rPr>
        <w:t>”) as of October 31, 2020, as set forth in the Issuer’s Form 10-Q filed with the Securities and Exchange Commission on November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-357505</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13D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No. 76133L103</w:t>
      </w:r>
    </w:p>
    <w:p>
      <w:pPr>
        <w:spacing w:after="0" w:line="270" w:lineRule="exact"/>
        <w:rPr>
          <w:sz w:val="20"/>
          <w:szCs w:val="20"/>
          <w:color w:val="auto"/>
        </w:rPr>
      </w:pPr>
    </w:p>
    <w:p>
      <w:pPr>
        <w:ind w:left="620" w:hanging="377"/>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6112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03415" cy="6112510"/>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PureTech Health plc</w:t>
      </w:r>
    </w:p>
    <w:p>
      <w:pPr>
        <w:spacing w:after="0" w:line="36" w:lineRule="exact"/>
        <w:rPr>
          <w:sz w:val="20"/>
          <w:szCs w:val="20"/>
          <w:color w:val="auto"/>
        </w:rPr>
      </w:pPr>
    </w:p>
    <w:p>
      <w:pPr>
        <w:ind w:left="620" w:hanging="377"/>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WC</w:t>
      </w:r>
    </w:p>
    <w:p>
      <w:pPr>
        <w:spacing w:after="0" w:line="36" w:lineRule="exact"/>
        <w:rPr>
          <w:sz w:val="20"/>
          <w:szCs w:val="20"/>
          <w:color w:val="auto"/>
        </w:rPr>
      </w:pPr>
    </w:p>
    <w:p>
      <w:pPr>
        <w:ind w:left="620" w:hanging="377"/>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color w:val="auto"/>
        </w:rPr>
        <w:t>7</w:t>
      </w:r>
      <w:r>
        <w:rPr>
          <w:rFonts w:ascii="Arial" w:cs="Arial" w:eastAsia="Arial" w:hAnsi="Arial"/>
          <w:sz w:val="17"/>
          <w:szCs w:val="17"/>
          <w:color w:val="auto"/>
        </w:rPr>
        <w:t>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560" w:type="dxa"/>
            <w:vAlign w:val="bottom"/>
            <w:tcBorders>
              <w:bottom w:val="single" w:sz="8" w:color="auto"/>
            </w:tcBorders>
          </w:tcPr>
          <w:p>
            <w:pPr>
              <w:spacing w:after="0"/>
              <w:rPr>
                <w:sz w:val="21"/>
                <w:szCs w:val="21"/>
                <w:color w:val="auto"/>
              </w:rPr>
            </w:pPr>
          </w:p>
        </w:tc>
        <w:tc>
          <w:tcPr>
            <w:tcW w:w="88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888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560" w:type="dxa"/>
            <w:vAlign w:val="bottom"/>
          </w:tcPr>
          <w:p>
            <w:pPr>
              <w:spacing w:after="0"/>
              <w:rPr>
                <w:sz w:val="18"/>
                <w:szCs w:val="18"/>
                <w:color w:val="auto"/>
              </w:rPr>
            </w:pPr>
          </w:p>
        </w:tc>
        <w:tc>
          <w:tcPr>
            <w:tcW w:w="8880" w:type="dxa"/>
            <w:vAlign w:val="bottom"/>
            <w:vMerge w:val="restart"/>
          </w:tcPr>
          <w:p>
            <w:pPr>
              <w:ind w:left="160"/>
              <w:spacing w:after="0"/>
              <w:rPr>
                <w:sz w:val="20"/>
                <w:szCs w:val="20"/>
                <w:color w:val="auto"/>
              </w:rPr>
            </w:pPr>
            <w:r>
              <w:rPr>
                <w:rFonts w:ascii="Arial" w:cs="Arial" w:eastAsia="Arial" w:hAnsi="Arial"/>
                <w:sz w:val="18"/>
                <w:szCs w:val="18"/>
                <w:color w:val="auto"/>
              </w:rPr>
              <w:t>2,406,564</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560" w:type="dxa"/>
            <w:vAlign w:val="bottom"/>
            <w:tcBorders>
              <w:bottom w:val="single" w:sz="8" w:color="auto"/>
            </w:tcBorders>
          </w:tcPr>
          <w:p>
            <w:pPr>
              <w:spacing w:after="0"/>
              <w:rPr>
                <w:sz w:val="20"/>
                <w:szCs w:val="20"/>
                <w:color w:val="auto"/>
              </w:rPr>
            </w:pPr>
          </w:p>
        </w:tc>
        <w:tc>
          <w:tcPr>
            <w:tcW w:w="88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560" w:type="dxa"/>
            <w:vAlign w:val="bottom"/>
          </w:tcPr>
          <w:p>
            <w:pPr>
              <w:jc w:val="right"/>
              <w:ind w:right="90"/>
              <w:spacing w:after="0" w:line="182" w:lineRule="exact"/>
              <w:rPr>
                <w:sz w:val="20"/>
                <w:szCs w:val="20"/>
                <w:color w:val="auto"/>
              </w:rPr>
            </w:pPr>
            <w:r>
              <w:rPr>
                <w:rFonts w:ascii="Arial" w:cs="Arial" w:eastAsia="Arial" w:hAnsi="Arial"/>
                <w:sz w:val="18"/>
                <w:szCs w:val="18"/>
                <w:color w:val="auto"/>
              </w:rPr>
              <w:t>9</w:t>
            </w:r>
          </w:p>
        </w:tc>
        <w:tc>
          <w:tcPr>
            <w:tcW w:w="888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56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560" w:type="dxa"/>
            <w:vAlign w:val="bottom"/>
          </w:tcPr>
          <w:p>
            <w:pPr>
              <w:spacing w:after="0"/>
              <w:rPr>
                <w:sz w:val="18"/>
                <w:szCs w:val="18"/>
                <w:color w:val="auto"/>
              </w:rPr>
            </w:pPr>
          </w:p>
        </w:tc>
        <w:tc>
          <w:tcPr>
            <w:tcW w:w="888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560" w:type="dxa"/>
            <w:vAlign w:val="bottom"/>
            <w:tcBorders>
              <w:bottom w:val="single" w:sz="8" w:color="auto"/>
            </w:tcBorders>
          </w:tcPr>
          <w:p>
            <w:pPr>
              <w:spacing w:after="0"/>
              <w:rPr>
                <w:sz w:val="5"/>
                <w:szCs w:val="5"/>
                <w:color w:val="auto"/>
              </w:rPr>
            </w:pPr>
          </w:p>
        </w:tc>
        <w:tc>
          <w:tcPr>
            <w:tcW w:w="8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560" w:type="dxa"/>
            <w:vAlign w:val="bottom"/>
            <w:vMerge w:val="restart"/>
          </w:tcPr>
          <w:p>
            <w:pPr>
              <w:jc w:val="right"/>
              <w:ind w:right="90"/>
              <w:spacing w:after="0"/>
              <w:rPr>
                <w:sz w:val="20"/>
                <w:szCs w:val="20"/>
                <w:color w:val="auto"/>
              </w:rPr>
            </w:pPr>
            <w:r>
              <w:rPr>
                <w:rFonts w:ascii="Arial" w:cs="Arial" w:eastAsia="Arial" w:hAnsi="Arial"/>
                <w:sz w:val="18"/>
                <w:szCs w:val="18"/>
                <w:color w:val="auto"/>
              </w:rPr>
              <w:t>10</w:t>
            </w:r>
          </w:p>
        </w:tc>
        <w:tc>
          <w:tcPr>
            <w:tcW w:w="888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8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2,406,564</w:t>
      </w:r>
    </w:p>
    <w:p>
      <w:pPr>
        <w:spacing w:after="0" w:line="36" w:lineRule="exact"/>
        <w:rPr>
          <w:sz w:val="20"/>
          <w:szCs w:val="20"/>
          <w:color w:val="auto"/>
        </w:rPr>
      </w:pPr>
    </w:p>
    <w:p>
      <w:pPr>
        <w:ind w:left="620" w:right="3860" w:hanging="467"/>
        <w:spacing w:after="0" w:line="406" w:lineRule="auto"/>
        <w:tabs>
          <w:tab w:leader="none" w:pos="61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2,406,564</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hanging="467"/>
        <w:spacing w:after="0"/>
        <w:tabs>
          <w:tab w:leader="none" w:pos="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9.0%*</w:t>
      </w:r>
    </w:p>
    <w:p>
      <w:pPr>
        <w:spacing w:after="0" w:line="36" w:lineRule="exact"/>
        <w:rPr>
          <w:rFonts w:ascii="Arial" w:cs="Arial" w:eastAsia="Arial" w:hAnsi="Arial"/>
          <w:sz w:val="18"/>
          <w:szCs w:val="18"/>
          <w:color w:val="auto"/>
        </w:rPr>
      </w:pPr>
    </w:p>
    <w:p>
      <w:pPr>
        <w:ind w:left="600" w:hanging="447"/>
        <w:spacing w:after="0"/>
        <w:tabs>
          <w:tab w:leader="none" w:pos="6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25" w:lineRule="exact"/>
        <w:rPr>
          <w:rFonts w:ascii="Arial" w:cs="Arial" w:eastAsia="Arial" w:hAnsi="Arial"/>
          <w:sz w:val="18"/>
          <w:szCs w:val="18"/>
          <w:color w:val="auto"/>
        </w:rPr>
      </w:pPr>
    </w:p>
    <w:p>
      <w:pPr>
        <w:ind w:left="420" w:right="160" w:hanging="432"/>
        <w:spacing w:after="0" w:line="277" w:lineRule="auto"/>
        <w:rPr>
          <w:rFonts w:ascii="Arial" w:cs="Arial" w:eastAsia="Arial" w:hAnsi="Arial"/>
          <w:sz w:val="18"/>
          <w:szCs w:val="18"/>
          <w:color w:val="auto"/>
        </w:rPr>
      </w:pPr>
      <w:r>
        <w:rPr>
          <w:rFonts w:ascii="Arial" w:cs="Arial" w:eastAsia="Arial" w:hAnsi="Arial"/>
          <w:sz w:val="18"/>
          <w:szCs w:val="18"/>
          <w:color w:val="auto"/>
        </w:rPr>
        <w:t>*This percentage is calculated based upon 26,806,566 shares of common stock outstanding of the Issuer as of October 31, 2020, as set forth in the Issuer’s Form 10-Q filed with the Securities and Exchange Commission on November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-327660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0" w:right="439" w:bottom="1440" w:gutter="0" w:footer="0" w:header="0"/>
        </w:sectPr>
      </w:pPr>
    </w:p>
    <w:bookmarkStart w:id="3" w:name="page4"/>
    <w:bookmarkEnd w:id="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13D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 Security and Issuer</w:t>
      </w:r>
    </w:p>
    <w:p>
      <w:pPr>
        <w:spacing w:after="0" w:line="121" w:lineRule="exact"/>
        <w:rPr>
          <w:sz w:val="20"/>
          <w:szCs w:val="20"/>
          <w:color w:val="auto"/>
        </w:rPr>
      </w:pPr>
    </w:p>
    <w:p>
      <w:pPr>
        <w:ind w:left="4"/>
        <w:spacing w:after="0" w:line="271" w:lineRule="auto"/>
        <w:rPr>
          <w:sz w:val="20"/>
          <w:szCs w:val="20"/>
          <w:color w:val="auto"/>
        </w:rPr>
      </w:pPr>
      <w:r>
        <w:rPr>
          <w:rFonts w:ascii="Arial" w:cs="Arial" w:eastAsia="Arial" w:hAnsi="Arial"/>
          <w:sz w:val="17"/>
          <w:szCs w:val="17"/>
          <w:color w:val="auto"/>
        </w:rPr>
        <w:t>This Amendment No. 4 (“</w:t>
      </w:r>
      <w:r>
        <w:rPr>
          <w:rFonts w:ascii="Arial" w:cs="Arial" w:eastAsia="Arial" w:hAnsi="Arial"/>
          <w:sz w:val="17"/>
          <w:szCs w:val="17"/>
          <w:u w:val="single" w:color="auto"/>
          <w:color w:val="auto"/>
        </w:rPr>
        <w:t>Amendment No. 4</w:t>
      </w:r>
      <w:r>
        <w:rPr>
          <w:rFonts w:ascii="Arial" w:cs="Arial" w:eastAsia="Arial" w:hAnsi="Arial"/>
          <w:sz w:val="17"/>
          <w:szCs w:val="17"/>
          <w:color w:val="auto"/>
        </w:rPr>
        <w:t>”) to Schedule 13D supplements and amends the Statement on Schedule 13D originally filed by PureTech Health LLC (“</w:t>
      </w:r>
      <w:r>
        <w:rPr>
          <w:rFonts w:ascii="Arial" w:cs="Arial" w:eastAsia="Arial" w:hAnsi="Arial"/>
          <w:sz w:val="17"/>
          <w:szCs w:val="17"/>
          <w:u w:val="single" w:color="auto"/>
          <w:color w:val="auto"/>
        </w:rPr>
        <w:t>PureTech Health</w:t>
      </w:r>
      <w:r>
        <w:rPr>
          <w:rFonts w:ascii="Arial" w:cs="Arial" w:eastAsia="Arial" w:hAnsi="Arial"/>
          <w:sz w:val="17"/>
          <w:szCs w:val="17"/>
          <w:color w:val="auto"/>
        </w:rPr>
        <w:t>”) and PureTech Health plc with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on July 11, 2019 (the “</w:t>
      </w:r>
      <w:r>
        <w:rPr>
          <w:rFonts w:ascii="Arial" w:cs="Arial" w:eastAsia="Arial" w:hAnsi="Arial"/>
          <w:sz w:val="17"/>
          <w:szCs w:val="17"/>
          <w:u w:val="single" w:color="auto"/>
          <w:color w:val="auto"/>
        </w:rPr>
        <w:t>Original</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13D</w:t>
      </w:r>
      <w:r>
        <w:rPr>
          <w:rFonts w:ascii="Arial" w:cs="Arial" w:eastAsia="Arial" w:hAnsi="Arial"/>
          <w:sz w:val="17"/>
          <w:szCs w:val="17"/>
          <w:color w:val="auto"/>
        </w:rPr>
        <w:t>”), as amended by Amendment No. 1 to Schedule 13D filed on January 23, 2020 (“</w:t>
      </w:r>
      <w:r>
        <w:rPr>
          <w:rFonts w:ascii="Arial" w:cs="Arial" w:eastAsia="Arial" w:hAnsi="Arial"/>
          <w:sz w:val="17"/>
          <w:szCs w:val="17"/>
          <w:u w:val="single" w:color="auto"/>
          <w:color w:val="auto"/>
        </w:rPr>
        <w:t>Amendment No. 1</w:t>
      </w:r>
      <w:r>
        <w:rPr>
          <w:rFonts w:ascii="Arial" w:cs="Arial" w:eastAsia="Arial" w:hAnsi="Arial"/>
          <w:sz w:val="17"/>
          <w:szCs w:val="17"/>
          <w:color w:val="auto"/>
        </w:rPr>
        <w:t>”), Amendment No. 2 to Schedule 13D filed on May 26, 2020 (“</w:t>
      </w:r>
      <w:r>
        <w:rPr>
          <w:rFonts w:ascii="Arial" w:cs="Arial" w:eastAsia="Arial" w:hAnsi="Arial"/>
          <w:sz w:val="17"/>
          <w:szCs w:val="17"/>
          <w:u w:val="single" w:color="auto"/>
          <w:color w:val="auto"/>
        </w:rPr>
        <w:t>Amendment No. 2</w:t>
      </w:r>
      <w:r>
        <w:rPr>
          <w:rFonts w:ascii="Arial" w:cs="Arial" w:eastAsia="Arial" w:hAnsi="Arial"/>
          <w:sz w:val="17"/>
          <w:szCs w:val="17"/>
          <w:color w:val="auto"/>
        </w:rPr>
        <w:t>”), and Amendment No. 3 to Schedule 13D filed on August 26, 2020 (“</w:t>
      </w:r>
      <w:r>
        <w:rPr>
          <w:rFonts w:ascii="Arial" w:cs="Arial" w:eastAsia="Arial" w:hAnsi="Arial"/>
          <w:sz w:val="17"/>
          <w:szCs w:val="17"/>
          <w:u w:val="single" w:color="auto"/>
          <w:color w:val="auto"/>
        </w:rPr>
        <w:t>Amendment No. 3</w:t>
      </w:r>
      <w:r>
        <w:rPr>
          <w:rFonts w:ascii="Arial" w:cs="Arial" w:eastAsia="Arial" w:hAnsi="Arial"/>
          <w:sz w:val="17"/>
          <w:szCs w:val="17"/>
          <w:color w:val="auto"/>
        </w:rPr>
        <w:t>” and, together with the Original Schedule 13D, the “</w:t>
      </w:r>
      <w:r>
        <w:rPr>
          <w:rFonts w:ascii="Arial" w:cs="Arial" w:eastAsia="Arial" w:hAnsi="Arial"/>
          <w:sz w:val="17"/>
          <w:szCs w:val="17"/>
          <w:u w:val="single" w:color="auto"/>
          <w:color w:val="auto"/>
        </w:rPr>
        <w:t>Schedule 13D</w:t>
      </w:r>
      <w:r>
        <w:rPr>
          <w:rFonts w:ascii="Arial" w:cs="Arial" w:eastAsia="Arial" w:hAnsi="Arial"/>
          <w:sz w:val="17"/>
          <w:szCs w:val="17"/>
          <w:color w:val="auto"/>
        </w:rPr>
        <w:t>”). The Schedule 13D relates to the common stock, par value $0.0001 per share (the “</w:t>
      </w:r>
      <w:r>
        <w:rPr>
          <w:rFonts w:ascii="Arial" w:cs="Arial" w:eastAsia="Arial" w:hAnsi="Arial"/>
          <w:sz w:val="17"/>
          <w:szCs w:val="17"/>
          <w:u w:val="single" w:color="auto"/>
          <w:color w:val="auto"/>
        </w:rPr>
        <w:t>Common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Stock</w:t>
      </w:r>
      <w:r>
        <w:rPr>
          <w:rFonts w:ascii="Arial" w:cs="Arial" w:eastAsia="Arial" w:hAnsi="Arial"/>
          <w:sz w:val="17"/>
          <w:szCs w:val="17"/>
          <w:color w:val="auto"/>
        </w:rPr>
        <w:t>”), of Karuna Therapeutics, Inc., a Delaware corporation (the “</w:t>
      </w:r>
      <w:r>
        <w:rPr>
          <w:rFonts w:ascii="Arial" w:cs="Arial" w:eastAsia="Arial" w:hAnsi="Arial"/>
          <w:sz w:val="17"/>
          <w:szCs w:val="17"/>
          <w:u w:val="single" w:color="auto"/>
          <w:color w:val="auto"/>
        </w:rPr>
        <w:t>Issuer</w:t>
      </w:r>
      <w:r>
        <w:rPr>
          <w:rFonts w:ascii="Arial" w:cs="Arial" w:eastAsia="Arial" w:hAnsi="Arial"/>
          <w:sz w:val="17"/>
          <w:szCs w:val="17"/>
          <w:color w:val="auto"/>
        </w:rPr>
        <w:t>”). The Issuer’s principal executive offices are located at 33 Arch Street, Suite 3110, Boston, MA 02110. The Common Stock is listed on the Nasdaq Global Market under the ticker symbol “KRTX”. Information given in response to each item shall be deemed incorporated by reference in all other items, as applicable.</w:t>
      </w:r>
    </w:p>
    <w:p>
      <w:pPr>
        <w:spacing w:after="0" w:line="178" w:lineRule="exact"/>
        <w:rPr>
          <w:sz w:val="20"/>
          <w:szCs w:val="20"/>
          <w:color w:val="auto"/>
        </w:rPr>
      </w:pPr>
    </w:p>
    <w:p>
      <w:pPr>
        <w:ind w:left="4" w:right="500"/>
        <w:spacing w:after="0" w:line="263" w:lineRule="auto"/>
        <w:rPr>
          <w:sz w:val="20"/>
          <w:szCs w:val="20"/>
          <w:color w:val="auto"/>
        </w:rPr>
      </w:pPr>
      <w:r>
        <w:rPr>
          <w:rFonts w:ascii="Arial" w:cs="Arial" w:eastAsia="Arial" w:hAnsi="Arial"/>
          <w:sz w:val="18"/>
          <w:szCs w:val="18"/>
          <w:color w:val="auto"/>
        </w:rPr>
        <w:t>On February 9, 2021, PureTech Health sold an aggregate of 1,000,000 shares of Common Stock of the Issuer. As a result of this transaction, the percentage of outstanding shares of Common Stock that the Reporting Persons may be deemed to beneficially own was reduced by more than one percent of the Issuer’s Common Stock outstanding since the filing of Amendment No. 3.</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2. Identity and Background</w:t>
      </w:r>
    </w:p>
    <w:p>
      <w:pPr>
        <w:spacing w:after="0" w:line="121" w:lineRule="exact"/>
        <w:rPr>
          <w:sz w:val="20"/>
          <w:szCs w:val="20"/>
          <w:color w:val="auto"/>
        </w:rPr>
      </w:pPr>
    </w:p>
    <w:p>
      <w:pPr>
        <w:ind w:left="4" w:right="220" w:hanging="4"/>
        <w:spacing w:after="0" w:line="263" w:lineRule="auto"/>
        <w:tabs>
          <w:tab w:leader="none" w:pos="18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Schedule 13D is being filed by PureTech Health LLC (“</w:t>
      </w:r>
      <w:r>
        <w:rPr>
          <w:rFonts w:ascii="Arial" w:cs="Arial" w:eastAsia="Arial" w:hAnsi="Arial"/>
          <w:sz w:val="18"/>
          <w:szCs w:val="18"/>
          <w:u w:val="single" w:color="auto"/>
          <w:color w:val="auto"/>
        </w:rPr>
        <w:t>PureTech Health</w:t>
      </w:r>
      <w:r>
        <w:rPr>
          <w:rFonts w:ascii="Arial" w:cs="Arial" w:eastAsia="Arial" w:hAnsi="Arial"/>
          <w:sz w:val="18"/>
          <w:szCs w:val="18"/>
          <w:color w:val="auto"/>
        </w:rPr>
        <w:t>”), a limited liability company organized under the laws of Delaware, and PureTech Health plc (“</w:t>
      </w:r>
      <w:r>
        <w:rPr>
          <w:rFonts w:ascii="Arial" w:cs="Arial" w:eastAsia="Arial" w:hAnsi="Arial"/>
          <w:sz w:val="18"/>
          <w:szCs w:val="18"/>
          <w:u w:val="single" w:color="auto"/>
          <w:color w:val="auto"/>
        </w:rPr>
        <w:t>PureTech Health plc</w:t>
      </w:r>
      <w:r>
        <w:rPr>
          <w:rFonts w:ascii="Arial" w:cs="Arial" w:eastAsia="Arial" w:hAnsi="Arial"/>
          <w:sz w:val="18"/>
          <w:szCs w:val="18"/>
          <w:color w:val="auto"/>
        </w:rPr>
        <w:t>”), a public limited company organized under the laws of the United Kingdom (collectively,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w:t>
      </w:r>
    </w:p>
    <w:p>
      <w:pPr>
        <w:spacing w:after="0" w:line="76" w:lineRule="exact"/>
        <w:rPr>
          <w:sz w:val="20"/>
          <w:szCs w:val="20"/>
          <w:color w:val="auto"/>
        </w:rPr>
      </w:pPr>
    </w:p>
    <w:p>
      <w:pPr>
        <w:ind w:left="244" w:hanging="244"/>
        <w:spacing w:after="0"/>
        <w:tabs>
          <w:tab w:leader="none" w:pos="2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principal business address of PureTech Health and PureTech Health plc is 6 Tide Street, Suite 400, Boston, MA 02210.</w:t>
      </w:r>
    </w:p>
    <w:p>
      <w:pPr>
        <w:spacing w:after="0" w:line="117" w:lineRule="exact"/>
        <w:rPr>
          <w:rFonts w:ascii="Arial" w:cs="Arial" w:eastAsia="Arial" w:hAnsi="Arial"/>
          <w:sz w:val="18"/>
          <w:szCs w:val="18"/>
          <w:color w:val="auto"/>
        </w:rPr>
      </w:pPr>
    </w:p>
    <w:p>
      <w:pPr>
        <w:ind w:left="244" w:hanging="244"/>
        <w:spacing w:after="0"/>
        <w:tabs>
          <w:tab w:leader="none" w:pos="244" w:val="left"/>
        </w:tabs>
        <w:numPr>
          <w:ilvl w:val="0"/>
          <w:numId w:val="17"/>
        </w:numPr>
        <w:rPr>
          <w:rFonts w:ascii="Arial" w:cs="Arial" w:eastAsia="Arial" w:hAnsi="Arial"/>
          <w:sz w:val="17"/>
          <w:szCs w:val="17"/>
          <w:color w:val="auto"/>
        </w:rPr>
      </w:pPr>
      <w:r>
        <w:rPr>
          <w:rFonts w:ascii="Arial" w:cs="Arial" w:eastAsia="Arial" w:hAnsi="Arial"/>
          <w:sz w:val="17"/>
          <w:szCs w:val="17"/>
          <w:color w:val="auto"/>
        </w:rPr>
        <w:t>PureTech Health is a Limited Liability Company organized under the laws of the State of Delaware and PureTech Health plc is a public limited</w:t>
      </w:r>
    </w:p>
    <w:p>
      <w:pPr>
        <w:spacing w:after="0" w:line="34" w:lineRule="exact"/>
        <w:rPr>
          <w:rFonts w:ascii="Arial" w:cs="Arial" w:eastAsia="Arial" w:hAnsi="Arial"/>
          <w:sz w:val="17"/>
          <w:szCs w:val="17"/>
          <w:color w:val="auto"/>
        </w:rPr>
      </w:pPr>
    </w:p>
    <w:p>
      <w:pPr>
        <w:ind w:left="4" w:right="200"/>
        <w:spacing w:after="0" w:line="260" w:lineRule="auto"/>
        <w:rPr>
          <w:rFonts w:ascii="Arial" w:cs="Arial" w:eastAsia="Arial" w:hAnsi="Arial"/>
          <w:sz w:val="17"/>
          <w:szCs w:val="17"/>
          <w:color w:val="auto"/>
        </w:rPr>
      </w:pPr>
      <w:r>
        <w:rPr>
          <w:rFonts w:ascii="Arial" w:cs="Arial" w:eastAsia="Arial" w:hAnsi="Arial"/>
          <w:sz w:val="18"/>
          <w:szCs w:val="18"/>
          <w:color w:val="auto"/>
        </w:rPr>
        <w:t>company organized under the laws of the United Kingdom. Each Reporting Persons is a biotechnology company dedicated to discovering, developing and commercializing highly differentiated medicines for devastating diseases.</w:t>
      </w:r>
    </w:p>
    <w:p>
      <w:pPr>
        <w:spacing w:after="0" w:line="77" w:lineRule="exact"/>
        <w:rPr>
          <w:sz w:val="20"/>
          <w:szCs w:val="20"/>
          <w:color w:val="auto"/>
        </w:rPr>
      </w:pPr>
    </w:p>
    <w:p>
      <w:pPr>
        <w:ind w:left="4" w:right="180"/>
        <w:spacing w:after="0" w:line="279" w:lineRule="auto"/>
        <w:rPr>
          <w:sz w:val="20"/>
          <w:szCs w:val="20"/>
          <w:color w:val="auto"/>
        </w:rPr>
      </w:pPr>
      <w:r>
        <w:rPr>
          <w:rFonts w:ascii="Arial" w:cs="Arial" w:eastAsia="Arial" w:hAnsi="Arial"/>
          <w:sz w:val="17"/>
          <w:szCs w:val="17"/>
          <w:color w:val="auto"/>
        </w:rPr>
        <w:t>(d)-(e) During the last five years, neither the Reporting Persons nor any person named in Schedule I or II have been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63" w:lineRule="exact"/>
        <w:rPr>
          <w:sz w:val="20"/>
          <w:szCs w:val="20"/>
          <w:color w:val="auto"/>
        </w:rPr>
      </w:pPr>
    </w:p>
    <w:p>
      <w:pPr>
        <w:ind w:left="4" w:right="460" w:hanging="4"/>
        <w:spacing w:after="0" w:line="277" w:lineRule="auto"/>
        <w:tabs>
          <w:tab w:leader="none" w:pos="22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name, business address, present principal occupation or employment and citizenship of the executive officers and members of the Board of Directors of the Reporting Persons is set forth on Schedule I hereto and is herein incorporated by reference.</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121" w:lineRule="exact"/>
        <w:rPr>
          <w:sz w:val="20"/>
          <w:szCs w:val="20"/>
          <w:color w:val="auto"/>
        </w:rPr>
      </w:pPr>
    </w:p>
    <w:p>
      <w:pPr>
        <w:ind w:left="4" w:right="440"/>
        <w:spacing w:after="0" w:line="277" w:lineRule="auto"/>
        <w:rPr>
          <w:sz w:val="20"/>
          <w:szCs w:val="20"/>
          <w:color w:val="auto"/>
        </w:rPr>
      </w:pPr>
      <w:r>
        <w:rPr>
          <w:rFonts w:ascii="Arial" w:cs="Arial" w:eastAsia="Arial" w:hAnsi="Arial"/>
          <w:sz w:val="18"/>
          <w:szCs w:val="18"/>
          <w:color w:val="auto"/>
        </w:rPr>
        <w:t>On June 27, 2019, the Registration Statement on Form S-1 filed with the Securities and Exchange Commission by the Issuer in connection with its initial public offering (“</w:t>
      </w:r>
      <w:r>
        <w:rPr>
          <w:rFonts w:ascii="Arial" w:cs="Arial" w:eastAsia="Arial" w:hAnsi="Arial"/>
          <w:sz w:val="18"/>
          <w:szCs w:val="18"/>
          <w:u w:val="single" w:color="auto"/>
          <w:color w:val="auto"/>
        </w:rPr>
        <w:t>IPO</w:t>
      </w:r>
      <w:r>
        <w:rPr>
          <w:rFonts w:ascii="Arial" w:cs="Arial" w:eastAsia="Arial" w:hAnsi="Arial"/>
          <w:sz w:val="18"/>
          <w:szCs w:val="18"/>
          <w:color w:val="auto"/>
        </w:rPr>
        <w:t>”) was declared effective. The closing of the IPO took place on July 2, 2019.</w:t>
      </w:r>
    </w:p>
    <w:p>
      <w:pPr>
        <w:spacing w:after="0" w:line="170"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Prior to the IPO, in July 2009, PureTech Health acquired 1,886,363 shares of Common Stock as founder shares at par value, the fair market value of the shares at the time of issuance.</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0" w:right="459" w:bottom="1440" w:gutter="0" w:footer="0" w:header="0"/>
        </w:sectPr>
      </w:pPr>
    </w:p>
    <w:bookmarkStart w:id="4" w:name="page5"/>
    <w:bookmarkEnd w:id="4"/>
    <w:p>
      <w:pPr>
        <w:jc w:val="both"/>
        <w:ind w:left="4"/>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Prior to the IPO, in July 2009, PureTech Health acquired 4,000,000 shares of the Issuer’s Series Seed Preferred Stock for $0.0001 per share, or $400 in the aggregate. In August 2018, PureTech Health acquired 1,348,814 shares of the Issuer’s Series A Preferred Stock upon conversion of $18,155,036 in outstanding principal, interest and discount on convertible promissory notes issued to PureTech Health by the Issuer between May 2011 and June 2018. In March 2019, PureTech Health acquired 330,250 shares of the Issuer’s Series B Preferred Stock at a purchase price of $15.14 per share, or $5,000,000 in the aggregate. Upon the closing of the Issuer’s initial public offering, each share of Preferred Stock automatically converted into the Issuer’s Common Stock on a 1.2987-to-1 ratio.</w:t>
      </w:r>
    </w:p>
    <w:p>
      <w:pPr>
        <w:spacing w:after="0" w:line="192" w:lineRule="exact"/>
        <w:rPr>
          <w:sz w:val="20"/>
          <w:szCs w:val="20"/>
          <w:color w:val="auto"/>
        </w:rPr>
      </w:pPr>
    </w:p>
    <w:p>
      <w:pPr>
        <w:ind w:left="4" w:right="320"/>
        <w:spacing w:after="0" w:line="311" w:lineRule="auto"/>
        <w:rPr>
          <w:sz w:val="20"/>
          <w:szCs w:val="20"/>
          <w:color w:val="auto"/>
        </w:rPr>
      </w:pPr>
      <w:r>
        <w:rPr>
          <w:rFonts w:ascii="Arial" w:cs="Arial" w:eastAsia="Arial" w:hAnsi="Arial"/>
          <w:sz w:val="16"/>
          <w:szCs w:val="16"/>
          <w:color w:val="auto"/>
        </w:rPr>
        <w:t>In July 2018, PureTech Health acquired 10 shares of the Issuer’s Common Stock upon partial exercise of a warrant issued to PureTech Health by the Issuer at a price of $3.79 per share, or $37.90 in the aggregate, and in March 2019 the Issuer acquired an additional 15,390 shares of the Issuer’s Common Stock upon exercise of the remaining portion of the warrant at a price of $3.79 per share, or $58,328 in the aggregate.</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18"/>
          <w:szCs w:val="18"/>
          <w:color w:val="auto"/>
        </w:rPr>
        <w:t>On January 22, 2020, PureTech Health sold 2,100,000 shares of the Issuer’s Common Stock.</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On May 22, 2020, PureTech Health sold 555,500 shares of the Issuer’s Common Stock.</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On August 26, 2020, PureTech Health sold 1,333,333 shares of the Issuer’s Common Stock.</w:t>
      </w:r>
    </w:p>
    <w:p>
      <w:pPr>
        <w:spacing w:after="0" w:line="225" w:lineRule="exact"/>
        <w:rPr>
          <w:sz w:val="20"/>
          <w:szCs w:val="20"/>
          <w:color w:val="auto"/>
        </w:rPr>
      </w:pPr>
    </w:p>
    <w:p>
      <w:pPr>
        <w:ind w:left="4" w:right="160"/>
        <w:spacing w:after="0" w:line="259" w:lineRule="auto"/>
        <w:rPr>
          <w:sz w:val="20"/>
          <w:szCs w:val="20"/>
          <w:color w:val="auto"/>
        </w:rPr>
      </w:pPr>
      <w:r>
        <w:rPr>
          <w:rFonts w:ascii="Arial" w:cs="Arial" w:eastAsia="Arial" w:hAnsi="Arial"/>
          <w:sz w:val="18"/>
          <w:szCs w:val="18"/>
          <w:color w:val="auto"/>
        </w:rPr>
        <w:t>As a result of the transactions described in Item 1 and this Item 3, the Reporting Persons may be deemed to be the beneficial owners of approximately 9.0% of the outstanding shares of Common Stock. PureTech Health plc, as the parent entity of PureTech Health, may be deemed to be the beneficial owner of approximately 9.0% of the outstanding shares of Common Stock. None of the Reporting Persons have acquired or disposed of any additional shares of Common Stock since February 9, 2021.</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4. Purpose of Transaction</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information contained in Item 1 and Item 3 above is herein incorporated by reference.</w:t>
      </w:r>
    </w:p>
    <w:p>
      <w:pPr>
        <w:spacing w:after="0" w:line="225"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The shares of Common Stock reported in this Schedule 13D were acquired for the purpose of investment and were not intended to and did not effect any change in the control of the Issuer.</w:t>
      </w:r>
    </w:p>
    <w:p>
      <w:pPr>
        <w:spacing w:after="0" w:line="170" w:lineRule="exact"/>
        <w:rPr>
          <w:sz w:val="20"/>
          <w:szCs w:val="20"/>
          <w:color w:val="auto"/>
        </w:rPr>
      </w:pPr>
    </w:p>
    <w:p>
      <w:pPr>
        <w:ind w:left="4" w:right="40"/>
        <w:spacing w:after="0" w:line="253" w:lineRule="auto"/>
        <w:rPr>
          <w:sz w:val="20"/>
          <w:szCs w:val="20"/>
          <w:color w:val="auto"/>
        </w:rPr>
      </w:pPr>
      <w:r>
        <w:rPr>
          <w:rFonts w:ascii="Arial" w:cs="Arial" w:eastAsia="Arial" w:hAnsi="Arial"/>
          <w:sz w:val="18"/>
          <w:szCs w:val="18"/>
          <w:color w:val="auto"/>
        </w:rPr>
        <w:t>The Reporting Persons from time to time intend to review their investment in the Issuer on the basis of various factors, including the Issuer’s business, financial condition, results of operations and prospects, general economic and industry conditions, the securities markets in general and those for the shares of the Issuer’s Common Stock in particular, as well as other developments and other investment opportunities. Based upon such review, the Reporting Persons will take such actions in the future as the Reporting Persons may deem appropriate in light of the circumstances existing from time to time. If the Reporting Persons believe that further investment in the Issuer is attractive, whether because of the market price of the Common Stock or otherwise, they may acquire shares of Common Stock or other securities of the Issuer either in the open market or in privately negotiated transactions. Similarly, depending on market and other factors, the Reporting Persons may determine to dispose of some or all of the shares of Common Stock currently owned by the Reporting Persons or otherwise acquired by the Reporting Persons either in the open market or in privately negotiated transactions.</w:t>
      </w:r>
    </w:p>
    <w:p>
      <w:pPr>
        <w:spacing w:after="0" w:line="196" w:lineRule="exact"/>
        <w:rPr>
          <w:sz w:val="20"/>
          <w:szCs w:val="20"/>
          <w:color w:val="auto"/>
        </w:rPr>
      </w:pPr>
    </w:p>
    <w:p>
      <w:pPr>
        <w:ind w:left="4" w:right="680"/>
        <w:spacing w:after="0" w:line="277" w:lineRule="auto"/>
        <w:rPr>
          <w:sz w:val="20"/>
          <w:szCs w:val="20"/>
          <w:color w:val="auto"/>
        </w:rPr>
      </w:pPr>
      <w:r>
        <w:rPr>
          <w:rFonts w:ascii="Arial" w:cs="Arial" w:eastAsia="Arial" w:hAnsi="Arial"/>
          <w:sz w:val="18"/>
          <w:szCs w:val="18"/>
          <w:color w:val="auto"/>
        </w:rPr>
        <w:t>Except as described above, none of the Reporting Persons currently has any plan or proposal that relates to or would result in any of the actions specified in clauses (a) through (j) of Item 4 of Schedule 13D.</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21" w:lineRule="exact"/>
        <w:rPr>
          <w:sz w:val="20"/>
          <w:szCs w:val="20"/>
          <w:color w:val="auto"/>
        </w:rPr>
      </w:pPr>
    </w:p>
    <w:p>
      <w:pPr>
        <w:ind w:left="4" w:right="40" w:hanging="4"/>
        <w:spacing w:after="0" w:line="277" w:lineRule="auto"/>
        <w:tabs>
          <w:tab w:leader="none" w:pos="179"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of the date hereof, the Reporting Persons may be deemed, for purposes of Rule 13d-3 of the Act, directly or indirectly, including by reason of their mutual affiliation, to be the beneficial owners of the shares of Common Stock described in Item 3 above.</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5" w:name="page6"/>
    <w:bookmarkEnd w:id="5"/>
    <w:p>
      <w:pPr>
        <w:ind w:left="4"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Based on the 26,806,566 shares of the Issuer’s common stock outstanding as of October 31, 2020, the Common Stock held by the Reporting Persons constitutes 9.0% of the outstanding shares of Common Stock of the Issuer.</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PureTech Health plc, may be deemed to beneficially own all of the shares of Common Stock held directly by PureTech Health.</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(b) With respect to the number of shares of Common Stock as to which each Reporting Person has:</w:t>
      </w:r>
    </w:p>
    <w:p>
      <w:pPr>
        <w:spacing w:after="0" w:line="117" w:lineRule="exact"/>
        <w:rPr>
          <w:sz w:val="20"/>
          <w:szCs w:val="20"/>
          <w:color w:val="auto"/>
        </w:rPr>
      </w:pPr>
    </w:p>
    <w:p>
      <w:pPr>
        <w:ind w:left="4" w:right="60" w:hanging="4"/>
        <w:spacing w:after="0" w:line="277" w:lineRule="auto"/>
        <w:tabs>
          <w:tab w:leader="none" w:pos="219"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sole power to vote or to direct the vote with respect to such shares of Common Stock, please see row 7 of the applicable cover sheet to this Schedule 13D for such Reporting Person;</w:t>
      </w:r>
    </w:p>
    <w:p>
      <w:pPr>
        <w:spacing w:after="0" w:line="62" w:lineRule="exact"/>
        <w:rPr>
          <w:rFonts w:ascii="Arial" w:cs="Arial" w:eastAsia="Arial" w:hAnsi="Arial"/>
          <w:sz w:val="18"/>
          <w:szCs w:val="18"/>
          <w:color w:val="auto"/>
        </w:rPr>
      </w:pPr>
    </w:p>
    <w:p>
      <w:pPr>
        <w:ind w:left="4" w:right="540" w:hanging="4"/>
        <w:spacing w:after="0" w:line="277" w:lineRule="auto"/>
        <w:tabs>
          <w:tab w:leader="none" w:pos="269"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shared power to vote or to direct the vote with respect to such shares of Common Stock, please see row 8 of the applicable cover sheet to this Schedule 13D for such Reporting Person;</w:t>
      </w:r>
    </w:p>
    <w:p>
      <w:pPr>
        <w:spacing w:after="0" w:line="62" w:lineRule="exact"/>
        <w:rPr>
          <w:rFonts w:ascii="Arial" w:cs="Arial" w:eastAsia="Arial" w:hAnsi="Arial"/>
          <w:sz w:val="18"/>
          <w:szCs w:val="18"/>
          <w:color w:val="auto"/>
        </w:rPr>
      </w:pPr>
    </w:p>
    <w:p>
      <w:pPr>
        <w:ind w:left="4" w:hanging="4"/>
        <w:spacing w:after="0" w:line="277" w:lineRule="auto"/>
        <w:tabs>
          <w:tab w:leader="none" w:pos="319"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sole power to dispose or direct the disposition of such shares of Common Stock, please see row 9 of the applicable cover sheet to this Schedule 13D for such Reporting Person; and</w:t>
      </w:r>
    </w:p>
    <w:p>
      <w:pPr>
        <w:spacing w:after="0" w:line="62" w:lineRule="exact"/>
        <w:rPr>
          <w:rFonts w:ascii="Arial" w:cs="Arial" w:eastAsia="Arial" w:hAnsi="Arial"/>
          <w:sz w:val="18"/>
          <w:szCs w:val="18"/>
          <w:color w:val="auto"/>
        </w:rPr>
      </w:pPr>
    </w:p>
    <w:p>
      <w:pPr>
        <w:ind w:left="4" w:right="600" w:hanging="4"/>
        <w:spacing w:after="0" w:line="277" w:lineRule="auto"/>
        <w:tabs>
          <w:tab w:leader="none" w:pos="309"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such shares of Common Stock, please see row 10 of the applicable cover sheet to this Schedule 13D for such Reporting Person.</w:t>
      </w:r>
    </w:p>
    <w:p>
      <w:pPr>
        <w:spacing w:after="0" w:line="62" w:lineRule="exact"/>
        <w:rPr>
          <w:sz w:val="20"/>
          <w:szCs w:val="20"/>
          <w:color w:val="auto"/>
        </w:rPr>
      </w:pPr>
    </w:p>
    <w:p>
      <w:pPr>
        <w:ind w:left="4" w:right="120" w:hanging="4"/>
        <w:spacing w:after="0" w:line="263" w:lineRule="auto"/>
        <w:tabs>
          <w:tab w:leader="none" w:pos="2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Items 1, 3 and 4 to this Schedule 13D is herein incorporated by reference. Except as disclosed herein, none of (i) the Reporting Persons and (ii) to the Reporting Persons’ knowledge, the persons set forth on Schedule I of this Schedule 13D, has effected any transaction in the Issuer’s Common Stock during the past 60 days.</w:t>
      </w:r>
    </w:p>
    <w:p>
      <w:pPr>
        <w:spacing w:after="0" w:line="75" w:lineRule="exact"/>
        <w:rPr>
          <w:rFonts w:ascii="Arial" w:cs="Arial" w:eastAsia="Arial" w:hAnsi="Arial"/>
          <w:sz w:val="18"/>
          <w:szCs w:val="18"/>
          <w:color w:val="auto"/>
        </w:rPr>
      </w:pPr>
    </w:p>
    <w:p>
      <w:pPr>
        <w:ind w:left="264" w:hanging="264"/>
        <w:spacing w:after="0"/>
        <w:tabs>
          <w:tab w:leader="none" w:pos="264"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244" w:hanging="244"/>
        <w:spacing w:after="0"/>
        <w:tabs>
          <w:tab w:leader="none" w:pos="2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6. Contracts; Arrangements, Understandings or relationship with respect to Securities of the Issuer</w:t>
      </w:r>
    </w:p>
    <w:p>
      <w:pPr>
        <w:spacing w:after="0" w:line="121" w:lineRule="exact"/>
        <w:rPr>
          <w:sz w:val="20"/>
          <w:szCs w:val="20"/>
          <w:color w:val="auto"/>
        </w:rPr>
      </w:pPr>
    </w:p>
    <w:p>
      <w:pPr>
        <w:ind w:left="4" w:right="40"/>
        <w:spacing w:after="0" w:line="342" w:lineRule="auto"/>
        <w:rPr>
          <w:sz w:val="20"/>
          <w:szCs w:val="20"/>
          <w:color w:val="auto"/>
        </w:rPr>
      </w:pPr>
      <w:r>
        <w:rPr>
          <w:rFonts w:ascii="Arial" w:cs="Arial" w:eastAsia="Arial" w:hAnsi="Arial"/>
          <w:sz w:val="16"/>
          <w:szCs w:val="16"/>
          <w:color w:val="auto"/>
        </w:rPr>
        <w:t>Bharatt Chowrira, an officer of PureTech Health plc, was a member of the Board of Directors of the Issuer from March 2017 until December 2019, and, accordingly, the Reporting Persons may have had the ability to affect and influence control of the Issuer until such time of his resignation.</w:t>
      </w:r>
    </w:p>
    <w:p>
      <w:pPr>
        <w:spacing w:after="0" w:line="232"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Amended and Restated Investors’ Rights Agreement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6"/>
          <w:szCs w:val="16"/>
          <w:color w:val="auto"/>
        </w:rPr>
        <w:t>PureTech Health and certain other stockholders of the Issuer entered into an amended and restated investors’ rights agreement with the Issuer (the</w:t>
      </w:r>
    </w:p>
    <w:p>
      <w:pPr>
        <w:spacing w:after="0" w:line="46" w:lineRule="exact"/>
        <w:rPr>
          <w:sz w:val="20"/>
          <w:szCs w:val="20"/>
          <w:color w:val="auto"/>
        </w:rPr>
      </w:pPr>
    </w:p>
    <w:p>
      <w:pPr>
        <w:ind w:left="4" w:right="14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 Rights Agreement</w:t>
      </w:r>
      <w:r>
        <w:rPr>
          <w:rFonts w:ascii="Arial" w:cs="Arial" w:eastAsia="Arial" w:hAnsi="Arial"/>
          <w:sz w:val="18"/>
          <w:szCs w:val="18"/>
          <w:color w:val="auto"/>
        </w:rPr>
        <w:t>”), dated as of March 15, 2019. Pursuant to the Investor Rights Agreement and subject to the terms and conditions therein, the parties agreed that:</w:t>
      </w:r>
    </w:p>
    <w:p>
      <w:pPr>
        <w:spacing w:after="0" w:line="293"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Registration Rights</w:t>
      </w:r>
    </w:p>
    <w:p>
      <w:pPr>
        <w:spacing w:after="0" w:line="117" w:lineRule="exact"/>
        <w:rPr>
          <w:sz w:val="20"/>
          <w:szCs w:val="20"/>
          <w:color w:val="auto"/>
        </w:rPr>
      </w:pPr>
    </w:p>
    <w:p>
      <w:pPr>
        <w:jc w:val="both"/>
        <w:ind w:left="4" w:right="100"/>
        <w:spacing w:after="0" w:line="263" w:lineRule="auto"/>
        <w:rPr>
          <w:sz w:val="20"/>
          <w:szCs w:val="20"/>
          <w:color w:val="auto"/>
        </w:rPr>
      </w:pPr>
      <w:r>
        <w:rPr>
          <w:rFonts w:ascii="Arial" w:cs="Arial" w:eastAsia="Arial" w:hAnsi="Arial"/>
          <w:sz w:val="18"/>
          <w:szCs w:val="18"/>
          <w:color w:val="auto"/>
        </w:rPr>
        <w:t>Following the closing of the IPO, the holders of a certain number of shares of Common Stock, or their transferees, are entitled to the registration rights set forth below with respect to registration of the resale of such shares of Common Stock under the Securities Act of 1933, as amended (the “</w:t>
      </w:r>
      <w:r>
        <w:rPr>
          <w:rFonts w:ascii="Arial" w:cs="Arial" w:eastAsia="Arial" w:hAnsi="Arial"/>
          <w:sz w:val="18"/>
          <w:szCs w:val="18"/>
          <w:u w:val="single" w:color="auto"/>
          <w:color w:val="auto"/>
        </w:rPr>
        <w:t>Securities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Act</w:t>
      </w:r>
      <w:r>
        <w:rPr>
          <w:rFonts w:ascii="Arial" w:cs="Arial" w:eastAsia="Arial" w:hAnsi="Arial"/>
          <w:sz w:val="18"/>
          <w:szCs w:val="18"/>
          <w:color w:val="auto"/>
        </w:rPr>
        <w:t>”) pursuant to the Investors Rights Agreement.</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Demand Registration Rights</w:t>
      </w:r>
    </w:p>
    <w:p>
      <w:pPr>
        <w:spacing w:after="0" w:line="117" w:lineRule="exact"/>
        <w:rPr>
          <w:sz w:val="20"/>
          <w:szCs w:val="20"/>
          <w:color w:val="auto"/>
        </w:rPr>
      </w:pPr>
    </w:p>
    <w:p>
      <w:pPr>
        <w:ind w:left="4" w:right="20"/>
        <w:spacing w:after="0" w:line="257" w:lineRule="auto"/>
        <w:rPr>
          <w:sz w:val="20"/>
          <w:szCs w:val="20"/>
          <w:color w:val="auto"/>
        </w:rPr>
      </w:pPr>
      <w:r>
        <w:rPr>
          <w:rFonts w:ascii="Arial" w:cs="Arial" w:eastAsia="Arial" w:hAnsi="Arial"/>
          <w:sz w:val="18"/>
          <w:szCs w:val="18"/>
          <w:color w:val="auto"/>
        </w:rPr>
        <w:t>Beginning 180 days after the effective date of the registration statement for the IPO, upon the written request from the holders of at least 40% (or a lesser percent if the anticipated aggregate offering price, net of selling expenses, would exceed $10.0 million) of the outstanding registrable securities (as defined in the Investor Rights Agreement), the Issuer is required to file a registration statement and use commercially reasonable efforts to effect the registration of all or a portion of its registrable securities for public resale. The Issuer is required to effect only two registrations pursuant to this provision of the Investor Rights Agreement.</w:t>
      </w:r>
    </w:p>
    <w:p>
      <w:pPr>
        <w:spacing w:after="0" w:line="12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4"/>
          </w:cols>
          <w:pgMar w:left="436" w:top="274" w:right="499" w:bottom="1440" w:gutter="0" w:footer="0" w:header="0"/>
        </w:sectPr>
      </w:pPr>
    </w:p>
    <w:bookmarkStart w:id="6" w:name="page7"/>
    <w:bookmarkEnd w:id="6"/>
    <w:p>
      <w:pPr>
        <w:ind w:left="4"/>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 S-3 Registration Rights</w:t>
      </w:r>
    </w:p>
    <w:p>
      <w:pPr>
        <w:spacing w:after="0" w:line="117" w:lineRule="exact"/>
        <w:rPr>
          <w:sz w:val="20"/>
          <w:szCs w:val="20"/>
          <w:color w:val="auto"/>
        </w:rPr>
      </w:pPr>
    </w:p>
    <w:p>
      <w:pPr>
        <w:jc w:val="both"/>
        <w:ind w:left="4" w:right="20"/>
        <w:spacing w:after="0" w:line="275" w:lineRule="auto"/>
        <w:rPr>
          <w:sz w:val="20"/>
          <w:szCs w:val="20"/>
          <w:color w:val="auto"/>
        </w:rPr>
      </w:pPr>
      <w:r>
        <w:rPr>
          <w:rFonts w:ascii="Arial" w:cs="Arial" w:eastAsia="Arial" w:hAnsi="Arial"/>
          <w:sz w:val="17"/>
          <w:szCs w:val="17"/>
          <w:color w:val="auto"/>
        </w:rPr>
        <w:t>Pursuant to the Investor Rights Agreement, if the Issuer is eligible to file a registration statement on Form S-3, upon the written request of the holders of registrable securities, the Issuer is required to file a Form S-3 registration statement with respect to their registrable securities so long as the total amount of registrable securities requested to be registered has an anticipated aggregate offering price to the public, net of selling expenses, of least $5.0 million. The Issuer is required to effect only two registrations in any twelve-month period pursuant to this provision of the Investor Rights Agreement. The right to have such shares registered on Form S-3 is further subject to other specified conditions and limitations.</w:t>
      </w:r>
    </w:p>
    <w:p>
      <w:pPr>
        <w:spacing w:after="0" w:line="284"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Piggyback Registration Rights</w:t>
      </w:r>
    </w:p>
    <w:p>
      <w:pPr>
        <w:spacing w:after="0" w:line="117"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Pursuant to the Investor Rights Agreement, if the Issuer registers any securities either for its own account or for the account of other security holders, the holders of registrable securities are entitled to include their shares of Common Stock in the registration. Subject to certain exceptions contained in the Investor Rights Agreement, the Issuer and the underwriters may limit the number of shares of Common Stock included in the underwritten offering to the number of shares of Common Stock which the Issuer and the underwriters determine in its sole discretion will not jeopardize the success of the offering.</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Indemnification</w:t>
      </w:r>
    </w:p>
    <w:p>
      <w:pPr>
        <w:spacing w:after="0" w:line="117" w:lineRule="exact"/>
        <w:rPr>
          <w:sz w:val="20"/>
          <w:szCs w:val="20"/>
          <w:color w:val="auto"/>
        </w:rPr>
      </w:pPr>
    </w:p>
    <w:p>
      <w:pPr>
        <w:ind w:left="4" w:right="360"/>
        <w:spacing w:after="0" w:line="263" w:lineRule="auto"/>
        <w:rPr>
          <w:sz w:val="20"/>
          <w:szCs w:val="20"/>
          <w:color w:val="auto"/>
        </w:rPr>
      </w:pPr>
      <w:r>
        <w:rPr>
          <w:rFonts w:ascii="Arial" w:cs="Arial" w:eastAsia="Arial" w:hAnsi="Arial"/>
          <w:sz w:val="18"/>
          <w:szCs w:val="18"/>
          <w:color w:val="auto"/>
        </w:rPr>
        <w:t>The Investor Rights Agreement contains customary cross-indemnification provisions, under which the Issuer is obligated to indemnify holders of registrable securities in the event of material misstatements or omissions in the registration statement attributable to it, and the holders of registrable securities are obligated to indemnify the Issuer for material misstatements or omissions attributable to them.</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Termination of Registration Rights</w:t>
      </w:r>
    </w:p>
    <w:p>
      <w:pPr>
        <w:spacing w:after="0" w:line="117" w:lineRule="exact"/>
        <w:rPr>
          <w:sz w:val="20"/>
          <w:szCs w:val="20"/>
          <w:color w:val="auto"/>
        </w:rPr>
      </w:pPr>
    </w:p>
    <w:p>
      <w:pPr>
        <w:ind w:left="4" w:right="580"/>
        <w:spacing w:after="0" w:line="277" w:lineRule="auto"/>
        <w:rPr>
          <w:sz w:val="20"/>
          <w:szCs w:val="20"/>
          <w:color w:val="auto"/>
        </w:rPr>
      </w:pPr>
      <w:r>
        <w:rPr>
          <w:rFonts w:ascii="Arial" w:cs="Arial" w:eastAsia="Arial" w:hAnsi="Arial"/>
          <w:sz w:val="18"/>
          <w:szCs w:val="18"/>
          <w:color w:val="auto"/>
        </w:rPr>
        <w:t>The demand registration rights, short form registration rights and piggyback registration rights granted under the Investor Rights Agreement will terminate on the fifth anniversary of the completion of the IPO.</w:t>
      </w:r>
    </w:p>
    <w:p>
      <w:pPr>
        <w:spacing w:after="0" w:line="170" w:lineRule="exact"/>
        <w:rPr>
          <w:sz w:val="20"/>
          <w:szCs w:val="20"/>
          <w:color w:val="auto"/>
        </w:rPr>
      </w:pPr>
    </w:p>
    <w:p>
      <w:pPr>
        <w:ind w:left="4" w:right="320"/>
        <w:spacing w:after="0" w:line="308" w:lineRule="auto"/>
        <w:rPr>
          <w:sz w:val="20"/>
          <w:szCs w:val="20"/>
          <w:color w:val="auto"/>
        </w:rPr>
      </w:pPr>
      <w:r>
        <w:rPr>
          <w:rFonts w:ascii="Arial" w:cs="Arial" w:eastAsia="Arial" w:hAnsi="Arial"/>
          <w:sz w:val="17"/>
          <w:szCs w:val="17"/>
          <w:color w:val="auto"/>
        </w:rPr>
        <w:t>The Investor Rights Agreement is more fully described in the prospectus filed in connection with the Issuer’s IPO and was filed as Exhibit 4.2 to the Issuer’s Form S-1 Registration Statement (File No. 333-231863), and such description is incorporated herein by reference.</w:t>
      </w:r>
    </w:p>
    <w:p>
      <w:pPr>
        <w:spacing w:after="0" w:line="146" w:lineRule="exact"/>
        <w:rPr>
          <w:sz w:val="20"/>
          <w:szCs w:val="20"/>
          <w:color w:val="auto"/>
        </w:rPr>
      </w:pPr>
    </w:p>
    <w:p>
      <w:pPr>
        <w:ind w:left="4" w:right="140"/>
        <w:spacing w:after="0" w:line="311" w:lineRule="auto"/>
        <w:rPr>
          <w:sz w:val="20"/>
          <w:szCs w:val="20"/>
          <w:color w:val="auto"/>
        </w:rPr>
      </w:pPr>
      <w:r>
        <w:rPr>
          <w:rFonts w:ascii="Arial" w:cs="Arial" w:eastAsia="Arial" w:hAnsi="Arial"/>
          <w:sz w:val="16"/>
          <w:szCs w:val="16"/>
          <w:color w:val="auto"/>
        </w:rPr>
        <w:t>Except as disclosed herein, there are no contracts, arrangements, understandings or relationships (legal or otherwise) among the Reporting Persons and any other person with respect to any securities of the Issuer, including but not limited to transfer or voting of any of the securities, finder’s fees, joint ventures, loan or option arrangements, puts or calls, guarantees of profits, division of profits or loss, or the giving or withholding of proxies.</w:t>
      </w:r>
    </w:p>
    <w:p>
      <w:pPr>
        <w:spacing w:after="0" w:line="25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7. Materials to be filed as Exhibits</w:t>
      </w:r>
    </w:p>
    <w:p>
      <w:pPr>
        <w:spacing w:after="0" w:line="248" w:lineRule="exact"/>
        <w:rPr>
          <w:sz w:val="20"/>
          <w:szCs w:val="20"/>
          <w:color w:val="auto"/>
        </w:rPr>
      </w:pPr>
    </w:p>
    <w:p>
      <w:pPr>
        <w:ind w:left="4"/>
        <w:spacing w:after="0"/>
        <w:tabs>
          <w:tab w:leader="none" w:pos="5664"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Description</w:t>
      </w:r>
    </w:p>
    <w:p>
      <w:pPr>
        <w:spacing w:after="0" w:line="117" w:lineRule="exact"/>
        <w:rPr>
          <w:sz w:val="20"/>
          <w:szCs w:val="20"/>
          <w:color w:val="auto"/>
        </w:rPr>
      </w:pPr>
    </w:p>
    <w:p>
      <w:pPr>
        <w:ind w:left="1084" w:hanging="1084"/>
        <w:spacing w:after="0"/>
        <w:tabs>
          <w:tab w:leader="none" w:pos="1084" w:val="left"/>
        </w:tabs>
        <w:numPr>
          <w:ilvl w:val="0"/>
          <w:numId w:val="22"/>
        </w:numPr>
        <w:rPr>
          <w:rFonts w:ascii="Arial" w:cs="Arial" w:eastAsia="Arial" w:hAnsi="Arial"/>
          <w:sz w:val="18"/>
          <w:szCs w:val="18"/>
          <w:color w:val="auto"/>
        </w:rPr>
      </w:pPr>
      <w:r>
        <w:rPr>
          <w:rFonts w:ascii="Arial" w:cs="Arial" w:eastAsia="Arial" w:hAnsi="Arial"/>
          <w:sz w:val="18"/>
          <w:szCs w:val="18"/>
          <w:color w:val="auto"/>
        </w:rPr>
        <w:t>Joint Filing Agreement among PureTech Health LLC and PureTech Health plc.</w:t>
      </w:r>
    </w:p>
    <w:p>
      <w:pPr>
        <w:spacing w:after="0" w:line="117" w:lineRule="exact"/>
        <w:rPr>
          <w:rFonts w:ascii="Arial" w:cs="Arial" w:eastAsia="Arial" w:hAnsi="Arial"/>
          <w:sz w:val="18"/>
          <w:szCs w:val="18"/>
          <w:color w:val="auto"/>
        </w:rPr>
      </w:pPr>
    </w:p>
    <w:p>
      <w:pPr>
        <w:ind w:left="1084" w:right="540" w:hanging="1084"/>
        <w:spacing w:after="0" w:line="277" w:lineRule="auto"/>
        <w:tabs>
          <w:tab w:leader="none" w:pos="108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Amended and Restated Investors’ Rights Agreement described in Item 6, filed as Exhibit 4.2 to the Issuer’s Form S-1 Registration Statement (File No. 333-231863) is incorporated herein by reference.</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After reasonable inquiry and to the best of each of the undersigned’s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10,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PURETECH HEALTH LLC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Muniz</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Stephen Muniz</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PURETECH HEALTH PLC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Muniz</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Stephen Muniz</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Chief Operating Officer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0" w:right="4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AND EXECUTIVE OFFICERS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PURETECH HEALTH PLC</w:t>
      </w:r>
    </w:p>
    <w:p>
      <w:pPr>
        <w:spacing w:after="0" w:line="211"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The name, function, citizenship and present principal occupation or employment of each of the directors and executive officers of PureTech Health plc are set forth below. Unless otherwise indicated below, (i) each occupation set forth opposite an individual’s name refers to employment with PureTech Health plc and (ii) the business address of each director and executive officer listed below is 6 Tide Street, Suite 400, Boston, MA 02210.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4"/>
                <w:szCs w:val="14"/>
                <w:color w:val="auto"/>
              </w:rPr>
            </w:pPr>
          </w:p>
        </w:tc>
        <w:tc>
          <w:tcPr>
            <w:tcW w:w="2860" w:type="dxa"/>
            <w:vAlign w:val="bottom"/>
            <w:gridSpan w:val="2"/>
          </w:tcPr>
          <w:p>
            <w:pPr>
              <w:ind w:left="640"/>
              <w:spacing w:after="0"/>
              <w:rPr>
                <w:sz w:val="20"/>
                <w:szCs w:val="20"/>
                <w:color w:val="auto"/>
              </w:rPr>
            </w:pPr>
            <w:r>
              <w:rPr>
                <w:rFonts w:ascii="Arial" w:cs="Arial" w:eastAsia="Arial" w:hAnsi="Arial"/>
                <w:sz w:val="14"/>
                <w:szCs w:val="14"/>
                <w:b w:val="1"/>
                <w:bCs w:val="1"/>
                <w:color w:val="auto"/>
              </w:rPr>
              <w:t>Position with Reporting</w:t>
            </w:r>
          </w:p>
        </w:tc>
        <w:tc>
          <w:tcPr>
            <w:tcW w:w="276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Principal Occupation</w:t>
            </w:r>
          </w:p>
        </w:tc>
        <w:tc>
          <w:tcPr>
            <w:tcW w:w="120" w:type="dxa"/>
            <w:vAlign w:val="bottom"/>
          </w:tcPr>
          <w:p>
            <w:pPr>
              <w:spacing w:after="0"/>
              <w:rPr>
                <w:sz w:val="14"/>
                <w:szCs w:val="14"/>
                <w:color w:val="auto"/>
              </w:rPr>
            </w:pPr>
          </w:p>
        </w:tc>
        <w:tc>
          <w:tcPr>
            <w:tcW w:w="210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Citizenship</w:t>
            </w:r>
          </w:p>
        </w:tc>
        <w:tc>
          <w:tcPr>
            <w:tcW w:w="0" w:type="dxa"/>
            <w:vAlign w:val="bottom"/>
          </w:tcPr>
          <w:p>
            <w:pPr>
              <w:spacing w:after="0"/>
              <w:rPr>
                <w:sz w:val="1"/>
                <w:szCs w:val="1"/>
                <w:color w:val="auto"/>
              </w:rPr>
            </w:pPr>
          </w:p>
        </w:tc>
      </w:tr>
      <w:tr>
        <w:trPr>
          <w:trHeight w:val="185"/>
        </w:trPr>
        <w:tc>
          <w:tcPr>
            <w:tcW w:w="30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76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rPr>
              <w:t>Person</w:t>
            </w:r>
          </w:p>
        </w:tc>
        <w:tc>
          <w:tcPr>
            <w:tcW w:w="100" w:type="dxa"/>
            <w:vAlign w:val="bottom"/>
          </w:tcPr>
          <w:p>
            <w:pPr>
              <w:spacing w:after="0"/>
              <w:rPr>
                <w:sz w:val="16"/>
                <w:szCs w:val="16"/>
                <w:color w:val="auto"/>
              </w:rPr>
            </w:pPr>
          </w:p>
        </w:tc>
        <w:tc>
          <w:tcPr>
            <w:tcW w:w="27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2"/>
        </w:trPr>
        <w:tc>
          <w:tcPr>
            <w:tcW w:w="3180" w:type="dxa"/>
            <w:vAlign w:val="bottom"/>
            <w:gridSpan w:val="2"/>
          </w:tcPr>
          <w:p>
            <w:pPr>
              <w:spacing w:after="0"/>
              <w:rPr>
                <w:sz w:val="20"/>
                <w:szCs w:val="20"/>
                <w:color w:val="auto"/>
              </w:rPr>
            </w:pPr>
            <w:r>
              <w:rPr>
                <w:rFonts w:ascii="Arial" w:cs="Arial" w:eastAsia="Arial" w:hAnsi="Arial"/>
                <w:sz w:val="18"/>
                <w:szCs w:val="18"/>
                <w:color w:val="auto"/>
              </w:rPr>
              <w:t>Daphne Zohar</w:t>
            </w:r>
          </w:p>
        </w:tc>
        <w:tc>
          <w:tcPr>
            <w:tcW w:w="2860" w:type="dxa"/>
            <w:vAlign w:val="bottom"/>
            <w:gridSpan w:val="2"/>
          </w:tcPr>
          <w:p>
            <w:pPr>
              <w:spacing w:after="0"/>
              <w:rPr>
                <w:sz w:val="20"/>
                <w:szCs w:val="20"/>
                <w:color w:val="auto"/>
              </w:rPr>
            </w:pPr>
            <w:r>
              <w:rPr>
                <w:rFonts w:ascii="Arial" w:cs="Arial" w:eastAsia="Arial" w:hAnsi="Arial"/>
                <w:sz w:val="18"/>
                <w:szCs w:val="18"/>
                <w:color w:val="auto"/>
                <w:w w:val="99"/>
              </w:rPr>
              <w:t>Chief Executive Officer and Director</w:t>
            </w:r>
          </w:p>
        </w:tc>
        <w:tc>
          <w:tcPr>
            <w:tcW w:w="27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392"/>
        </w:trPr>
        <w:tc>
          <w:tcPr>
            <w:tcW w:w="3180" w:type="dxa"/>
            <w:vAlign w:val="bottom"/>
            <w:gridSpan w:val="2"/>
          </w:tcPr>
          <w:p>
            <w:pPr>
              <w:spacing w:after="0"/>
              <w:rPr>
                <w:sz w:val="20"/>
                <w:szCs w:val="20"/>
                <w:color w:val="auto"/>
              </w:rPr>
            </w:pPr>
            <w:r>
              <w:rPr>
                <w:rFonts w:ascii="Arial" w:cs="Arial" w:eastAsia="Arial" w:hAnsi="Arial"/>
                <w:sz w:val="18"/>
                <w:szCs w:val="18"/>
                <w:color w:val="auto"/>
              </w:rPr>
              <w:t>Raju Kucherlapati</w:t>
            </w:r>
          </w:p>
        </w:tc>
        <w:tc>
          <w:tcPr>
            <w:tcW w:w="28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760" w:type="dxa"/>
            <w:vAlign w:val="bottom"/>
          </w:tcPr>
          <w:p>
            <w:pPr>
              <w:spacing w:after="0"/>
              <w:rPr>
                <w:sz w:val="20"/>
                <w:szCs w:val="20"/>
                <w:color w:val="auto"/>
              </w:rPr>
            </w:pPr>
            <w:r>
              <w:rPr>
                <w:rFonts w:ascii="Arial" w:cs="Arial" w:eastAsia="Arial" w:hAnsi="Arial"/>
                <w:sz w:val="18"/>
                <w:szCs w:val="18"/>
                <w:color w:val="auto"/>
                <w:w w:val="98"/>
              </w:rPr>
              <w:t>Professor, Harvard Medical School</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392"/>
        </w:trPr>
        <w:tc>
          <w:tcPr>
            <w:tcW w:w="3180" w:type="dxa"/>
            <w:vAlign w:val="bottom"/>
            <w:gridSpan w:val="2"/>
          </w:tcPr>
          <w:p>
            <w:pPr>
              <w:spacing w:after="0"/>
              <w:rPr>
                <w:sz w:val="20"/>
                <w:szCs w:val="20"/>
                <w:color w:val="auto"/>
              </w:rPr>
            </w:pPr>
            <w:r>
              <w:rPr>
                <w:rFonts w:ascii="Arial" w:cs="Arial" w:eastAsia="Arial" w:hAnsi="Arial"/>
                <w:sz w:val="18"/>
                <w:szCs w:val="18"/>
                <w:color w:val="auto"/>
              </w:rPr>
              <w:t>John LaMattina</w:t>
            </w:r>
          </w:p>
        </w:tc>
        <w:tc>
          <w:tcPr>
            <w:tcW w:w="28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760" w:type="dxa"/>
            <w:vAlign w:val="bottom"/>
          </w:tcPr>
          <w:p>
            <w:pPr>
              <w:spacing w:after="0"/>
              <w:rPr>
                <w:sz w:val="20"/>
                <w:szCs w:val="20"/>
                <w:color w:val="auto"/>
              </w:rPr>
            </w:pPr>
            <w:r>
              <w:rPr>
                <w:rFonts w:ascii="Arial" w:cs="Arial" w:eastAsia="Arial" w:hAnsi="Arial"/>
                <w:sz w:val="18"/>
                <w:szCs w:val="18"/>
                <w:color w:val="auto"/>
              </w:rPr>
              <w:t>Pharmaceutical Executive</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377"/>
        </w:trPr>
        <w:tc>
          <w:tcPr>
            <w:tcW w:w="3180" w:type="dxa"/>
            <w:vAlign w:val="bottom"/>
            <w:gridSpan w:val="2"/>
          </w:tcPr>
          <w:p>
            <w:pPr>
              <w:spacing w:after="0"/>
              <w:rPr>
                <w:sz w:val="20"/>
                <w:szCs w:val="20"/>
                <w:color w:val="auto"/>
              </w:rPr>
            </w:pPr>
            <w:r>
              <w:rPr>
                <w:rFonts w:ascii="Arial" w:cs="Arial" w:eastAsia="Arial" w:hAnsi="Arial"/>
                <w:sz w:val="18"/>
                <w:szCs w:val="18"/>
                <w:color w:val="auto"/>
              </w:rPr>
              <w:t>Robert Langer</w:t>
            </w:r>
          </w:p>
        </w:tc>
        <w:tc>
          <w:tcPr>
            <w:tcW w:w="28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760" w:type="dxa"/>
            <w:vAlign w:val="bottom"/>
          </w:tcPr>
          <w:p>
            <w:pPr>
              <w:spacing w:after="0"/>
              <w:rPr>
                <w:sz w:val="20"/>
                <w:szCs w:val="20"/>
                <w:color w:val="auto"/>
              </w:rPr>
            </w:pPr>
            <w:r>
              <w:rPr>
                <w:rFonts w:ascii="Arial" w:cs="Arial" w:eastAsia="Arial" w:hAnsi="Arial"/>
                <w:sz w:val="18"/>
                <w:szCs w:val="18"/>
                <w:color w:val="auto"/>
                <w:w w:val="92"/>
              </w:rPr>
              <w:t>Professor, Massachusetts Institute of</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Technology</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3180" w:type="dxa"/>
            <w:vAlign w:val="bottom"/>
            <w:gridSpan w:val="2"/>
          </w:tcPr>
          <w:p>
            <w:pPr>
              <w:spacing w:after="0"/>
              <w:rPr>
                <w:sz w:val="20"/>
                <w:szCs w:val="20"/>
                <w:color w:val="auto"/>
              </w:rPr>
            </w:pPr>
            <w:r>
              <w:rPr>
                <w:rFonts w:ascii="Arial" w:cs="Arial" w:eastAsia="Arial" w:hAnsi="Arial"/>
                <w:sz w:val="18"/>
                <w:szCs w:val="18"/>
                <w:color w:val="auto"/>
              </w:rPr>
              <w:t>Kiran Mazumdar-Shaw</w:t>
            </w:r>
          </w:p>
        </w:tc>
        <w:tc>
          <w:tcPr>
            <w:tcW w:w="28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760" w:type="dxa"/>
            <w:vAlign w:val="bottom"/>
          </w:tcPr>
          <w:p>
            <w:pPr>
              <w:spacing w:after="0"/>
              <w:rPr>
                <w:sz w:val="20"/>
                <w:szCs w:val="20"/>
                <w:color w:val="auto"/>
              </w:rPr>
            </w:pPr>
            <w:r>
              <w:rPr>
                <w:rFonts w:ascii="Arial" w:cs="Arial" w:eastAsia="Arial" w:hAnsi="Arial"/>
                <w:sz w:val="18"/>
                <w:szCs w:val="18"/>
                <w:color w:val="auto"/>
              </w:rPr>
              <w:t>Founder and Chairperson, Biocon</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limited</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180" w:type="dxa"/>
            <w:vAlign w:val="bottom"/>
            <w:gridSpan w:val="2"/>
          </w:tcPr>
          <w:p>
            <w:pPr>
              <w:spacing w:after="0"/>
              <w:rPr>
                <w:sz w:val="20"/>
                <w:szCs w:val="20"/>
                <w:color w:val="auto"/>
              </w:rPr>
            </w:pPr>
            <w:r>
              <w:rPr>
                <w:rFonts w:ascii="Arial" w:cs="Arial" w:eastAsia="Arial" w:hAnsi="Arial"/>
                <w:sz w:val="18"/>
                <w:szCs w:val="18"/>
                <w:color w:val="auto"/>
              </w:rPr>
              <w:t>Marjorie Scardino</w:t>
            </w:r>
          </w:p>
        </w:tc>
        <w:tc>
          <w:tcPr>
            <w:tcW w:w="28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760" w:type="dxa"/>
            <w:vAlign w:val="bottom"/>
          </w:tcPr>
          <w:p>
            <w:pPr>
              <w:spacing w:after="0"/>
              <w:rPr>
                <w:sz w:val="20"/>
                <w:szCs w:val="20"/>
                <w:color w:val="auto"/>
              </w:rPr>
            </w:pPr>
            <w:r>
              <w:rPr>
                <w:rFonts w:ascii="Arial" w:cs="Arial" w:eastAsia="Arial" w:hAnsi="Arial"/>
                <w:sz w:val="18"/>
                <w:szCs w:val="18"/>
                <w:color w:val="auto"/>
              </w:rPr>
              <w:t>Executive</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377"/>
        </w:trPr>
        <w:tc>
          <w:tcPr>
            <w:tcW w:w="3180" w:type="dxa"/>
            <w:vAlign w:val="bottom"/>
            <w:gridSpan w:val="2"/>
          </w:tcPr>
          <w:p>
            <w:pPr>
              <w:spacing w:after="0"/>
              <w:rPr>
                <w:sz w:val="20"/>
                <w:szCs w:val="20"/>
                <w:color w:val="auto"/>
              </w:rPr>
            </w:pPr>
            <w:r>
              <w:rPr>
                <w:rFonts w:ascii="Arial" w:cs="Arial" w:eastAsia="Arial" w:hAnsi="Arial"/>
                <w:sz w:val="18"/>
                <w:szCs w:val="18"/>
                <w:color w:val="auto"/>
              </w:rPr>
              <w:t>Christopher Viehbacher</w:t>
            </w:r>
          </w:p>
        </w:tc>
        <w:tc>
          <w:tcPr>
            <w:tcW w:w="2860" w:type="dxa"/>
            <w:vAlign w:val="bottom"/>
            <w:gridSpan w:val="2"/>
          </w:tcPr>
          <w:p>
            <w:pPr>
              <w:spacing w:after="0"/>
              <w:rPr>
                <w:sz w:val="20"/>
                <w:szCs w:val="20"/>
                <w:color w:val="auto"/>
              </w:rPr>
            </w:pPr>
            <w:r>
              <w:rPr>
                <w:rFonts w:ascii="Arial" w:cs="Arial" w:eastAsia="Arial" w:hAnsi="Arial"/>
                <w:sz w:val="18"/>
                <w:szCs w:val="18"/>
                <w:color w:val="auto"/>
              </w:rPr>
              <w:t>Chairman and Director</w:t>
            </w:r>
          </w:p>
        </w:tc>
        <w:tc>
          <w:tcPr>
            <w:tcW w:w="2760" w:type="dxa"/>
            <w:vAlign w:val="bottom"/>
          </w:tcPr>
          <w:p>
            <w:pPr>
              <w:spacing w:after="0"/>
              <w:rPr>
                <w:sz w:val="20"/>
                <w:szCs w:val="20"/>
                <w:color w:val="auto"/>
              </w:rPr>
            </w:pPr>
            <w:r>
              <w:rPr>
                <w:rFonts w:ascii="Arial" w:cs="Arial" w:eastAsia="Arial" w:hAnsi="Arial"/>
                <w:sz w:val="18"/>
                <w:szCs w:val="18"/>
                <w:color w:val="auto"/>
              </w:rPr>
              <w:t>Managing Partner, Gurnet Point</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Capital</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180" w:type="dxa"/>
            <w:vAlign w:val="bottom"/>
            <w:gridSpan w:val="2"/>
          </w:tcPr>
          <w:p>
            <w:pPr>
              <w:spacing w:after="0"/>
              <w:rPr>
                <w:sz w:val="20"/>
                <w:szCs w:val="20"/>
                <w:color w:val="auto"/>
              </w:rPr>
            </w:pPr>
            <w:r>
              <w:rPr>
                <w:rFonts w:ascii="Arial" w:cs="Arial" w:eastAsia="Arial" w:hAnsi="Arial"/>
                <w:sz w:val="18"/>
                <w:szCs w:val="18"/>
                <w:color w:val="auto"/>
              </w:rPr>
              <w:t>Stephen Muniz</w:t>
            </w:r>
          </w:p>
        </w:tc>
        <w:tc>
          <w:tcPr>
            <w:tcW w:w="2860" w:type="dxa"/>
            <w:vAlign w:val="bottom"/>
            <w:gridSpan w:val="2"/>
          </w:tcPr>
          <w:p>
            <w:pPr>
              <w:spacing w:after="0"/>
              <w:rPr>
                <w:sz w:val="20"/>
                <w:szCs w:val="20"/>
                <w:color w:val="auto"/>
              </w:rPr>
            </w:pPr>
            <w:r>
              <w:rPr>
                <w:rFonts w:ascii="Arial" w:cs="Arial" w:eastAsia="Arial" w:hAnsi="Arial"/>
                <w:sz w:val="18"/>
                <w:szCs w:val="18"/>
                <w:color w:val="auto"/>
                <w:w w:val="98"/>
              </w:rPr>
              <w:t>Chief Operating Officer and Director</w:t>
            </w:r>
          </w:p>
        </w:tc>
        <w:tc>
          <w:tcPr>
            <w:tcW w:w="2760" w:type="dxa"/>
            <w:vAlign w:val="bottom"/>
          </w:tcPr>
          <w:p>
            <w:pPr>
              <w:spacing w:after="0"/>
              <w:rPr>
                <w:sz w:val="20"/>
                <w:szCs w:val="20"/>
                <w:color w:val="auto"/>
              </w:rPr>
            </w:pPr>
            <w:r>
              <w:rPr>
                <w:rFonts w:ascii="Arial" w:cs="Arial" w:eastAsia="Arial" w:hAnsi="Arial"/>
                <w:sz w:val="18"/>
                <w:szCs w:val="18"/>
                <w:color w:val="auto"/>
              </w:rPr>
              <w:t>Chief Operating Officer</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377"/>
        </w:trPr>
        <w:tc>
          <w:tcPr>
            <w:tcW w:w="3180" w:type="dxa"/>
            <w:vAlign w:val="bottom"/>
            <w:gridSpan w:val="2"/>
          </w:tcPr>
          <w:p>
            <w:pPr>
              <w:spacing w:after="0"/>
              <w:rPr>
                <w:sz w:val="20"/>
                <w:szCs w:val="20"/>
                <w:color w:val="auto"/>
              </w:rPr>
            </w:pPr>
            <w:r>
              <w:rPr>
                <w:rFonts w:ascii="Arial" w:cs="Arial" w:eastAsia="Arial" w:hAnsi="Arial"/>
                <w:sz w:val="18"/>
                <w:szCs w:val="18"/>
                <w:color w:val="auto"/>
              </w:rPr>
              <w:t>Bharatt Chowrira</w:t>
            </w:r>
          </w:p>
        </w:tc>
        <w:tc>
          <w:tcPr>
            <w:tcW w:w="2860" w:type="dxa"/>
            <w:vAlign w:val="bottom"/>
            <w:gridSpan w:val="2"/>
          </w:tcPr>
          <w:p>
            <w:pPr>
              <w:spacing w:after="0"/>
              <w:rPr>
                <w:sz w:val="20"/>
                <w:szCs w:val="20"/>
                <w:color w:val="auto"/>
              </w:rPr>
            </w:pPr>
            <w:r>
              <w:rPr>
                <w:rFonts w:ascii="Arial" w:cs="Arial" w:eastAsia="Arial" w:hAnsi="Arial"/>
                <w:sz w:val="18"/>
                <w:szCs w:val="18"/>
                <w:color w:val="auto"/>
              </w:rPr>
              <w:t>President, Chief of Business and</w:t>
            </w:r>
          </w:p>
        </w:tc>
        <w:tc>
          <w:tcPr>
            <w:tcW w:w="2760" w:type="dxa"/>
            <w:vAlign w:val="bottom"/>
          </w:tcPr>
          <w:p>
            <w:pPr>
              <w:spacing w:after="0"/>
              <w:rPr>
                <w:sz w:val="20"/>
                <w:szCs w:val="20"/>
                <w:color w:val="auto"/>
              </w:rPr>
            </w:pPr>
            <w:r>
              <w:rPr>
                <w:rFonts w:ascii="Arial" w:cs="Arial" w:eastAsia="Arial" w:hAnsi="Arial"/>
                <w:sz w:val="18"/>
                <w:szCs w:val="18"/>
                <w:color w:val="auto"/>
                <w:w w:val="94"/>
              </w:rPr>
              <w:t>President and Chief of Business and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Strategy and Director</w:t>
            </w:r>
          </w:p>
        </w:tc>
        <w:tc>
          <w:tcPr>
            <w:tcW w:w="2760" w:type="dxa"/>
            <w:vAlign w:val="bottom"/>
          </w:tcPr>
          <w:p>
            <w:pPr>
              <w:spacing w:after="0"/>
              <w:rPr>
                <w:sz w:val="20"/>
                <w:szCs w:val="20"/>
                <w:color w:val="auto"/>
              </w:rPr>
            </w:pPr>
            <w:r>
              <w:rPr>
                <w:rFonts w:ascii="Arial" w:cs="Arial" w:eastAsia="Arial" w:hAnsi="Arial"/>
                <w:sz w:val="18"/>
                <w:szCs w:val="18"/>
                <w:color w:val="auto"/>
              </w:rPr>
              <w:t>Strategy</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180" w:type="dxa"/>
            <w:vAlign w:val="bottom"/>
            <w:gridSpan w:val="2"/>
          </w:tcPr>
          <w:p>
            <w:pPr>
              <w:spacing w:after="0"/>
              <w:rPr>
                <w:sz w:val="20"/>
                <w:szCs w:val="20"/>
                <w:color w:val="auto"/>
              </w:rPr>
            </w:pPr>
            <w:r>
              <w:rPr>
                <w:rFonts w:ascii="Arial" w:cs="Arial" w:eastAsia="Arial" w:hAnsi="Arial"/>
                <w:sz w:val="18"/>
                <w:szCs w:val="18"/>
                <w:color w:val="auto"/>
              </w:rPr>
              <w:t>Joseph Bolen</w:t>
            </w:r>
          </w:p>
        </w:tc>
        <w:tc>
          <w:tcPr>
            <w:tcW w:w="2860" w:type="dxa"/>
            <w:vAlign w:val="bottom"/>
            <w:gridSpan w:val="2"/>
          </w:tcPr>
          <w:p>
            <w:pPr>
              <w:spacing w:after="0"/>
              <w:rPr>
                <w:sz w:val="20"/>
                <w:szCs w:val="20"/>
                <w:color w:val="auto"/>
              </w:rPr>
            </w:pPr>
            <w:r>
              <w:rPr>
                <w:rFonts w:ascii="Arial" w:cs="Arial" w:eastAsia="Arial" w:hAnsi="Arial"/>
                <w:sz w:val="18"/>
                <w:szCs w:val="18"/>
                <w:color w:val="auto"/>
              </w:rPr>
              <w:t>Chief Scientific Officer</w:t>
            </w:r>
          </w:p>
        </w:tc>
        <w:tc>
          <w:tcPr>
            <w:tcW w:w="2760" w:type="dxa"/>
            <w:vAlign w:val="bottom"/>
          </w:tcPr>
          <w:p>
            <w:pPr>
              <w:spacing w:after="0"/>
              <w:rPr>
                <w:sz w:val="20"/>
                <w:szCs w:val="20"/>
                <w:color w:val="auto"/>
              </w:rPr>
            </w:pPr>
            <w:r>
              <w:rPr>
                <w:rFonts w:ascii="Arial" w:cs="Arial" w:eastAsia="Arial" w:hAnsi="Arial"/>
                <w:sz w:val="18"/>
                <w:szCs w:val="18"/>
                <w:color w:val="auto"/>
              </w:rPr>
              <w:t>Chief Scientific Officer</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392"/>
        </w:trPr>
        <w:tc>
          <w:tcPr>
            <w:tcW w:w="3180" w:type="dxa"/>
            <w:vAlign w:val="bottom"/>
            <w:gridSpan w:val="2"/>
          </w:tcPr>
          <w:p>
            <w:pPr>
              <w:spacing w:after="0"/>
              <w:rPr>
                <w:sz w:val="20"/>
                <w:szCs w:val="20"/>
                <w:color w:val="auto"/>
              </w:rPr>
            </w:pPr>
            <w:r>
              <w:rPr>
                <w:rFonts w:ascii="Arial" w:cs="Arial" w:eastAsia="Arial" w:hAnsi="Arial"/>
                <w:sz w:val="18"/>
                <w:szCs w:val="18"/>
                <w:color w:val="auto"/>
              </w:rPr>
              <w:t>Eric Elenko</w:t>
            </w:r>
          </w:p>
        </w:tc>
        <w:tc>
          <w:tcPr>
            <w:tcW w:w="2860" w:type="dxa"/>
            <w:vAlign w:val="bottom"/>
            <w:gridSpan w:val="2"/>
          </w:tcPr>
          <w:p>
            <w:pPr>
              <w:spacing w:after="0"/>
              <w:rPr>
                <w:sz w:val="20"/>
                <w:szCs w:val="20"/>
                <w:color w:val="auto"/>
              </w:rPr>
            </w:pPr>
            <w:r>
              <w:rPr>
                <w:rFonts w:ascii="Arial" w:cs="Arial" w:eastAsia="Arial" w:hAnsi="Arial"/>
                <w:sz w:val="18"/>
                <w:szCs w:val="18"/>
                <w:color w:val="auto"/>
              </w:rPr>
              <w:t>Chief Innovation Officer</w:t>
            </w:r>
          </w:p>
        </w:tc>
        <w:tc>
          <w:tcPr>
            <w:tcW w:w="2760" w:type="dxa"/>
            <w:vAlign w:val="bottom"/>
          </w:tcPr>
          <w:p>
            <w:pPr>
              <w:spacing w:after="0"/>
              <w:rPr>
                <w:sz w:val="20"/>
                <w:szCs w:val="20"/>
                <w:color w:val="auto"/>
              </w:rPr>
            </w:pPr>
            <w:r>
              <w:rPr>
                <w:rFonts w:ascii="Arial" w:cs="Arial" w:eastAsia="Arial" w:hAnsi="Arial"/>
                <w:sz w:val="18"/>
                <w:szCs w:val="18"/>
                <w:color w:val="auto"/>
              </w:rPr>
              <w:t>Chief Innovation Officer</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391"/>
        </w:trPr>
        <w:tc>
          <w:tcPr>
            <w:tcW w:w="3180" w:type="dxa"/>
            <w:vAlign w:val="bottom"/>
            <w:gridSpan w:val="2"/>
          </w:tcPr>
          <w:p>
            <w:pPr>
              <w:spacing w:after="0"/>
              <w:rPr>
                <w:sz w:val="20"/>
                <w:szCs w:val="20"/>
                <w:color w:val="auto"/>
              </w:rPr>
            </w:pPr>
            <w:r>
              <w:rPr>
                <w:rFonts w:ascii="Arial" w:cs="Arial" w:eastAsia="Arial" w:hAnsi="Arial"/>
                <w:sz w:val="18"/>
                <w:szCs w:val="18"/>
                <w:color w:val="auto"/>
              </w:rPr>
              <w:t>George Farmer</w:t>
            </w:r>
          </w:p>
        </w:tc>
        <w:tc>
          <w:tcPr>
            <w:tcW w:w="28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7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392"/>
        </w:trPr>
        <w:tc>
          <w:tcPr>
            <w:tcW w:w="3180" w:type="dxa"/>
            <w:vAlign w:val="bottom"/>
            <w:gridSpan w:val="2"/>
          </w:tcPr>
          <w:p>
            <w:pPr>
              <w:spacing w:after="0"/>
              <w:rPr>
                <w:sz w:val="20"/>
                <w:szCs w:val="20"/>
                <w:color w:val="auto"/>
              </w:rPr>
            </w:pPr>
            <w:r>
              <w:rPr>
                <w:rFonts w:ascii="Arial" w:cs="Arial" w:eastAsia="Arial" w:hAnsi="Arial"/>
                <w:sz w:val="18"/>
                <w:szCs w:val="18"/>
                <w:color w:val="auto"/>
              </w:rPr>
              <w:t>Joep Muijrers</w:t>
            </w:r>
          </w:p>
        </w:tc>
        <w:tc>
          <w:tcPr>
            <w:tcW w:w="2860" w:type="dxa"/>
            <w:vAlign w:val="bottom"/>
            <w:gridSpan w:val="2"/>
          </w:tcPr>
          <w:p>
            <w:pPr>
              <w:spacing w:after="0"/>
              <w:rPr>
                <w:sz w:val="20"/>
                <w:szCs w:val="20"/>
                <w:color w:val="auto"/>
              </w:rPr>
            </w:pPr>
            <w:r>
              <w:rPr>
                <w:rFonts w:ascii="Arial" w:cs="Arial" w:eastAsia="Arial" w:hAnsi="Arial"/>
                <w:sz w:val="18"/>
                <w:szCs w:val="18"/>
                <w:color w:val="auto"/>
              </w:rPr>
              <w:t>Chief of Portfolio Strategy</w:t>
            </w:r>
          </w:p>
        </w:tc>
        <w:tc>
          <w:tcPr>
            <w:tcW w:w="2760" w:type="dxa"/>
            <w:vAlign w:val="bottom"/>
          </w:tcPr>
          <w:p>
            <w:pPr>
              <w:spacing w:after="0"/>
              <w:rPr>
                <w:sz w:val="20"/>
                <w:szCs w:val="20"/>
                <w:color w:val="auto"/>
              </w:rPr>
            </w:pPr>
            <w:r>
              <w:rPr>
                <w:rFonts w:ascii="Arial" w:cs="Arial" w:eastAsia="Arial" w:hAnsi="Arial"/>
                <w:sz w:val="18"/>
                <w:szCs w:val="18"/>
                <w:color w:val="auto"/>
              </w:rPr>
              <w:t>Chief of Portfolio Strategy</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The Netherlands</w:t>
            </w:r>
          </w:p>
        </w:tc>
        <w:tc>
          <w:tcPr>
            <w:tcW w:w="0" w:type="dxa"/>
            <w:vAlign w:val="bottom"/>
          </w:tcPr>
          <w:p>
            <w:pPr>
              <w:spacing w:after="0"/>
              <w:rPr>
                <w:sz w:val="1"/>
                <w:szCs w:val="1"/>
                <w:color w:val="auto"/>
              </w:rPr>
            </w:pPr>
          </w:p>
        </w:tc>
      </w:tr>
      <w:tr>
        <w:trPr>
          <w:trHeight w:val="365"/>
        </w:trPr>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tcPr>
          <w:p>
            <w:pPr>
              <w:ind w:left="228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9" w:name="page10"/>
    <w:bookmarkEnd w:id="9"/>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II</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business and operations of PureTech Health LLC are managed by the executive officers and directors of its parent entity, PureTech Health plc, set forth on Schedule I attached hereto.</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00"/>
          </w:cols>
          <w:pgMar w:left="440" w:top="270" w:right="659" w:bottom="1440" w:gutter="0" w:footer="0" w:header="0"/>
        </w:sectPr>
      </w:pPr>
    </w:p>
    <w:bookmarkStart w:id="10" w:name="page11"/>
    <w:bookmarkEnd w:id="10"/>
    <w:p>
      <w:pPr>
        <w:ind w:left="4804"/>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INDEX</w:t>
      </w:r>
    </w:p>
    <w:p>
      <w:pPr>
        <w:spacing w:after="0" w:line="248" w:lineRule="exact"/>
        <w:rPr>
          <w:sz w:val="20"/>
          <w:szCs w:val="20"/>
          <w:color w:val="auto"/>
        </w:rPr>
      </w:pPr>
    </w:p>
    <w:p>
      <w:pPr>
        <w:ind w:left="4"/>
        <w:spacing w:after="0"/>
        <w:tabs>
          <w:tab w:leader="none" w:pos="5664"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Description</w:t>
      </w:r>
    </w:p>
    <w:p>
      <w:pPr>
        <w:spacing w:after="0" w:line="117" w:lineRule="exact"/>
        <w:rPr>
          <w:sz w:val="20"/>
          <w:szCs w:val="20"/>
          <w:color w:val="auto"/>
        </w:rPr>
      </w:pPr>
    </w:p>
    <w:p>
      <w:pPr>
        <w:ind w:left="1084" w:hanging="1084"/>
        <w:spacing w:after="0"/>
        <w:tabs>
          <w:tab w:leader="none" w:pos="1084" w:val="left"/>
        </w:tabs>
        <w:numPr>
          <w:ilvl w:val="0"/>
          <w:numId w:val="23"/>
        </w:numPr>
        <w:rPr>
          <w:rFonts w:ascii="Arial" w:cs="Arial" w:eastAsia="Arial" w:hAnsi="Arial"/>
          <w:sz w:val="18"/>
          <w:szCs w:val="18"/>
          <w:color w:val="auto"/>
        </w:rPr>
      </w:pPr>
      <w:r>
        <w:rPr>
          <w:rFonts w:ascii="Arial" w:cs="Arial" w:eastAsia="Arial" w:hAnsi="Arial"/>
          <w:sz w:val="18"/>
          <w:szCs w:val="18"/>
          <w:color w:val="auto"/>
        </w:rPr>
        <w:t>Joint Filing Agreement among PureTech Health LLC and PureTech Health plc.</w:t>
      </w:r>
    </w:p>
    <w:p>
      <w:pPr>
        <w:spacing w:after="0" w:line="117" w:lineRule="exact"/>
        <w:rPr>
          <w:rFonts w:ascii="Arial" w:cs="Arial" w:eastAsia="Arial" w:hAnsi="Arial"/>
          <w:sz w:val="18"/>
          <w:szCs w:val="18"/>
          <w:color w:val="auto"/>
        </w:rPr>
      </w:pPr>
    </w:p>
    <w:p>
      <w:pPr>
        <w:ind w:left="1084" w:hanging="1084"/>
        <w:spacing w:after="0" w:line="277" w:lineRule="auto"/>
        <w:tabs>
          <w:tab w:leader="none" w:pos="108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Amended and Restated Investors’ Rights Agreement described in Item 6, filed as Exhibit 4.2 to the Issuer’s Form S-1 Registration Statement (File No. 333-231863) is incorporated herein by reference.</w:t>
      </w:r>
    </w:p>
    <w:p>
      <w:pPr>
        <w:spacing w:after="0" w:line="103"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464"/>
          </w:cols>
          <w:pgMar w:left="436" w:top="270" w:right="99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undersigned hereby agree that the foregoing statement on Schedule 13D is filed on behalf of each of the undersigned, and any amendments thereto executed by the undersigned shall be filed on behalf of each of the undersigned without the necessity of filing any additional joint filing agreement. The undersigned acknowledge that each is responsible for the timely filing of such statement on Schedule 13D and any amendments thereto, and for the completeness and accuracy of the information concerning it contained therein, but shall not be responsible for the completeness or accuracy of the information concerning the others of the undersigned, except to the extent that it knows or has reason to believe that such information is inaccurate or incomplete. This Joint Filing Agreement may be executed in any number of counterparts, all of which taken together shall constitute one and the same instrument.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executed this Joint Filing Agreement as of February 10,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PURETECH HEALTH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Stephen Muniz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Stephen Muniz</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Operating Officer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PURETECH HEALTH PLC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Stephen Muniz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Stephen Muniz</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Operating Officer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bullet"/>
      <w:start w:val="1"/>
    </w:lvl>
  </w:abstractNum>
  <w:abstractNum w:abstractNumId="2">
    <w:nsid w:val="3352255A"/>
    <w:multiLevelType w:val="hybridMultilevel"/>
    <w:lvl w:ilvl="0">
      <w:lvlJc w:val="left"/>
      <w:lvlText w:val="2"/>
      <w:numFmt w:val="bullet"/>
      <w:start w:val="1"/>
    </w:lvl>
  </w:abstractNum>
  <w:abstractNum w:abstractNumId="3">
    <w:nsid w:val="109CF92E"/>
    <w:multiLevelType w:val="hybridMultilevel"/>
    <w:lvl w:ilvl="0">
      <w:lvlJc w:val="left"/>
      <w:lvlText w:val="3"/>
      <w:numFmt w:val="bullet"/>
      <w:start w:val="1"/>
    </w:lvl>
  </w:abstractNum>
  <w:abstractNum w:abstractNumId="4">
    <w:nsid w:val="DED7263"/>
    <w:multiLevelType w:val="hybridMultilevel"/>
    <w:lvl w:ilvl="0">
      <w:lvlJc w:val="left"/>
      <w:lvlText w:val="4"/>
      <w:numFmt w:val="bullet"/>
      <w:start w:val="1"/>
    </w:lvl>
  </w:abstractNum>
  <w:abstractNum w:abstractNumId="5">
    <w:nsid w:val="7FDCC233"/>
    <w:multiLevelType w:val="hybridMultilevel"/>
    <w:lvl w:ilvl="0">
      <w:lvlJc w:val="left"/>
      <w:lvlText w:val="5"/>
      <w:numFmt w:val="bullet"/>
      <w:start w:val="1"/>
    </w:lvl>
  </w:abstractNum>
  <w:abstractNum w:abstractNumId="6">
    <w:nsid w:val="1BEFD79F"/>
    <w:multiLevelType w:val="hybridMultilevel"/>
    <w:lvl w:ilvl="0">
      <w:lvlJc w:val="left"/>
      <w:lvlText w:val="6"/>
      <w:numFmt w:val="bullet"/>
      <w:start w:val="1"/>
    </w:lvl>
  </w:abstractNum>
  <w:abstractNum w:abstractNumId="7">
    <w:nsid w:val="41A7C4C9"/>
    <w:multiLevelType w:val="hybridMultilevel"/>
    <w:lvl w:ilvl="0">
      <w:lvlJc w:val="left"/>
      <w:lvlText w:val="*"/>
      <w:numFmt w:val="bullet"/>
      <w:start w:val="1"/>
    </w:lvl>
    <w:lvl w:ilvl="1">
      <w:lvlJc w:val="left"/>
      <w:lvlText w:val="%2"/>
      <w:numFmt w:val="decimal"/>
      <w:start w:val="11"/>
    </w:lvl>
  </w:abstractNum>
  <w:abstractNum w:abstractNumId="8">
    <w:nsid w:val="6B68079A"/>
    <w:multiLevelType w:val="hybridMultilevel"/>
    <w:lvl w:ilvl="0">
      <w:lvlJc w:val="left"/>
      <w:lvlText w:val="1"/>
      <w:numFmt w:val="bullet"/>
      <w:start w:val="1"/>
    </w:lvl>
  </w:abstractNum>
  <w:abstractNum w:abstractNumId="9">
    <w:nsid w:val="4E6AFB66"/>
    <w:multiLevelType w:val="hybridMultilevel"/>
    <w:lvl w:ilvl="0">
      <w:lvlJc w:val="left"/>
      <w:lvlText w:val="2"/>
      <w:numFmt w:val="bullet"/>
      <w:start w:val="1"/>
    </w:lvl>
  </w:abstractNum>
  <w:abstractNum w:abstractNumId="10">
    <w:nsid w:val="25E45D32"/>
    <w:multiLevelType w:val="hybridMultilevel"/>
    <w:lvl w:ilvl="0">
      <w:lvlJc w:val="left"/>
      <w:lvlText w:val="3"/>
      <w:numFmt w:val="bullet"/>
      <w:start w:val="1"/>
    </w:lvl>
  </w:abstractNum>
  <w:abstractNum w:abstractNumId="11">
    <w:nsid w:val="519B500D"/>
    <w:multiLevelType w:val="hybridMultilevel"/>
    <w:lvl w:ilvl="0">
      <w:lvlJc w:val="left"/>
      <w:lvlText w:val="4"/>
      <w:numFmt w:val="bullet"/>
      <w:start w:val="1"/>
    </w:lvl>
  </w:abstractNum>
  <w:abstractNum w:abstractNumId="12">
    <w:nsid w:val="431BD7B7"/>
    <w:multiLevelType w:val="hybridMultilevel"/>
    <w:lvl w:ilvl="0">
      <w:lvlJc w:val="left"/>
      <w:lvlText w:val="5"/>
      <w:numFmt w:val="bullet"/>
      <w:start w:val="1"/>
    </w:lvl>
  </w:abstractNum>
  <w:abstractNum w:abstractNumId="13">
    <w:nsid w:val="3F2DBA31"/>
    <w:multiLevelType w:val="hybridMultilevel"/>
    <w:lvl w:ilvl="0">
      <w:lvlJc w:val="left"/>
      <w:lvlText w:val="6"/>
      <w:numFmt w:val="bullet"/>
      <w:start w:val="1"/>
    </w:lvl>
  </w:abstractNum>
  <w:abstractNum w:abstractNumId="14">
    <w:nsid w:val="7C83E458"/>
    <w:multiLevelType w:val="hybridMultilevel"/>
    <w:lvl w:ilvl="0">
      <w:lvlJc w:val="left"/>
      <w:lvlText w:val="*"/>
      <w:numFmt w:val="bullet"/>
      <w:start w:val="1"/>
    </w:lvl>
    <w:lvl w:ilvl="1">
      <w:lvlJc w:val="left"/>
      <w:lvlText w:val="%2"/>
      <w:numFmt w:val="decimal"/>
      <w:start w:val="11"/>
    </w:lvl>
  </w:abstractNum>
  <w:abstractNum w:abstractNumId="15">
    <w:nsid w:val="257130A3"/>
    <w:multiLevelType w:val="hybridMultilevel"/>
    <w:lvl w:ilvl="0">
      <w:lvlJc w:val="left"/>
      <w:lvlText w:val="%1)"/>
      <w:numFmt w:val="lowerLetter"/>
      <w:start w:val="1"/>
    </w:lvl>
  </w:abstractNum>
  <w:abstractNum w:abstractNumId="16">
    <w:nsid w:val="62BBD95A"/>
    <w:multiLevelType w:val="hybridMultilevel"/>
    <w:lvl w:ilvl="0">
      <w:lvlJc w:val="left"/>
      <w:lvlText w:val="(%1)"/>
      <w:numFmt w:val="lowerLetter"/>
      <w:start w:val="2"/>
    </w:lvl>
  </w:abstractNum>
  <w:abstractNum w:abstractNumId="17">
    <w:nsid w:val="436C6125"/>
    <w:multiLevelType w:val="hybridMultilevel"/>
    <w:lvl w:ilvl="0">
      <w:lvlJc w:val="left"/>
      <w:lvlText w:val="(%1)"/>
      <w:numFmt w:val="lowerLetter"/>
      <w:start w:val="6"/>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lowerRoman"/>
      <w:start w:val="1"/>
    </w:lvl>
  </w:abstractNum>
  <w:abstractNum w:abstractNumId="20">
    <w:nsid w:val="721DA317"/>
    <w:multiLevelType w:val="hybridMultilevel"/>
    <w:lvl w:ilvl="0">
      <w:lvlJc w:val="left"/>
      <w:lvlText w:val="(%1)"/>
      <w:numFmt w:val="lowerLetter"/>
      <w:start w:val="3"/>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2021-02-10T05:25:11Z</dcterms:created>
  <dcterms:modified xsi:type="dcterms:W3CDTF">2021-02-10T05:25:11Z</dcterms:modified>
</cp:coreProperties>
</file>