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16, 2024, PureTech Health plc (LSE: PRTC, Nasdaq: PRTC) (the “Company”) issued a press release titled “PureTech’s Deupirfenidone (LYT-100) Slowed Lung Function Decline in People with Idiopathic Pulmonary Fibrosis (IPF) as Measured by Forced Vital Capacity (FVC), Achieving the Primary and Key Secondary Endpoints in the ELEVATE IPF Phase 2b Trial.”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ind w:left="420" w:hanging="431"/>
        <w:spacing w:after="0" w:line="266" w:lineRule="auto"/>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of PureTech Health plc, dated December 16, 2024, titled “PureTech’s Deupirfenidone (LYT-100) Slowed Lung Function Decline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People with Idiopathic Pulmonary Fibrosis (IPF) as Measured by Forced Vital Capacity (FVC), Achieving the Primary and Key Secondary Endpoints in the ELEVATE IPF Phase 2b Trial.”</w:t>
      </w:r>
    </w:p>
    <w:p>
      <w:pPr>
        <w:sectPr>
          <w:pgSz w:w="11900" w:h="16838" w:orient="portrait"/>
          <w:cols w:equalWidth="0" w:num="1">
            <w:col w:w="10960"/>
          </w:cols>
          <w:pgMar w:left="440" w:top="266"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ind w:left="10084"/>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7"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16 December 2024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16"/>
        <w:spacing w:after="0" w:line="286" w:lineRule="auto"/>
        <w:rPr>
          <w:sz w:val="20"/>
          <w:szCs w:val="20"/>
          <w:color w:val="auto"/>
        </w:rPr>
      </w:pPr>
      <w:r>
        <w:rPr>
          <w:rFonts w:ascii="Times New Roman" w:cs="Times New Roman" w:eastAsia="Times New Roman" w:hAnsi="Times New Roman"/>
          <w:sz w:val="18"/>
          <w:szCs w:val="18"/>
          <w:b w:val="1"/>
          <w:bCs w:val="1"/>
          <w:color w:val="auto"/>
        </w:rPr>
        <w:t>PureTech’s Deupirfenidone (LYT-100) Slowed Lung Function Decline in People with Idiopathic Pulmonary Fibrosis (IPF) as Measured by Forced Vital Capacity (FVC), Achieving the Primary and Key Secondary Endpoints in the ELEVATE IPF Phase 2b Trial</w:t>
      </w:r>
    </w:p>
    <w:p>
      <w:pPr>
        <w:spacing w:after="0" w:line="49" w:lineRule="exact"/>
        <w:rPr>
          <w:sz w:val="20"/>
          <w:szCs w:val="20"/>
          <w:color w:val="auto"/>
        </w:rPr>
      </w:pPr>
    </w:p>
    <w:p>
      <w:pPr>
        <w:jc w:val="center"/>
        <w:ind w:left="440" w:right="220"/>
        <w:spacing w:after="0" w:line="214" w:lineRule="auto"/>
        <w:rPr>
          <w:sz w:val="20"/>
          <w:szCs w:val="20"/>
          <w:color w:val="auto"/>
        </w:rPr>
      </w:pPr>
      <w:r>
        <w:rPr>
          <w:rFonts w:ascii="Times New Roman" w:cs="Times New Roman" w:eastAsia="Times New Roman" w:hAnsi="Times New Roman"/>
          <w:sz w:val="18"/>
          <w:szCs w:val="18"/>
          <w:i w:val="1"/>
          <w:iCs w:val="1"/>
          <w:color w:val="auto"/>
        </w:rPr>
        <w:t>Dose-ranging trial evaluated deupirfenidone 550 mg three times a day (TID) (approximately equivalent exposure to pirfenidone 801 mg TID</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and deupirfenidone 825 mg TID and successfully demonstrated dose-dependent response</w:t>
      </w:r>
    </w:p>
    <w:p>
      <w:pPr>
        <w:spacing w:after="0" w:line="89" w:lineRule="exact"/>
        <w:rPr>
          <w:sz w:val="20"/>
          <w:szCs w:val="20"/>
          <w:color w:val="auto"/>
        </w:rPr>
      </w:pPr>
    </w:p>
    <w:p>
      <w:pPr>
        <w:jc w:val="center"/>
        <w:ind w:left="440" w:right="20"/>
        <w:spacing w:after="0" w:line="266" w:lineRule="auto"/>
        <w:rPr>
          <w:sz w:val="20"/>
          <w:szCs w:val="20"/>
          <w:color w:val="auto"/>
        </w:rPr>
      </w:pPr>
      <w:r>
        <w:rPr>
          <w:rFonts w:ascii="Times New Roman" w:cs="Times New Roman" w:eastAsia="Times New Roman" w:hAnsi="Times New Roman"/>
          <w:sz w:val="18"/>
          <w:szCs w:val="18"/>
          <w:i w:val="1"/>
          <w:iCs w:val="1"/>
          <w:color w:val="auto"/>
        </w:rPr>
        <w:t>Decline in lung function seen with deupirfenidone 825 mg TID as a monotherapy was -21.5 mL; natural lung function decline expected in healthy adults &gt;60 years is ~-15 to ~-25 mL</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decline in lung function with pirfenidone 801 mg TID was -51.6 mL</w:t>
      </w:r>
    </w:p>
    <w:p>
      <w:pPr>
        <w:spacing w:after="0" w:line="1" w:lineRule="exact"/>
        <w:rPr>
          <w:sz w:val="20"/>
          <w:szCs w:val="20"/>
          <w:color w:val="auto"/>
        </w:rPr>
      </w:pPr>
    </w:p>
    <w:p>
      <w:pPr>
        <w:jc w:val="center"/>
        <w:ind w:left="440" w:right="60"/>
        <w:spacing w:after="0" w:line="258" w:lineRule="auto"/>
        <w:rPr>
          <w:sz w:val="20"/>
          <w:szCs w:val="20"/>
          <w:color w:val="auto"/>
        </w:rPr>
      </w:pPr>
      <w:r>
        <w:rPr>
          <w:rFonts w:ascii="Times New Roman" w:cs="Times New Roman" w:eastAsia="Times New Roman" w:hAnsi="Times New Roman"/>
          <w:sz w:val="18"/>
          <w:szCs w:val="18"/>
          <w:i w:val="1"/>
          <w:iCs w:val="1"/>
          <w:color w:val="auto"/>
        </w:rPr>
        <w:t>Deupirfenidone 825 mg TID showed strong, consistent and durable efficacy with a treatment effect versus placebo of 80.9% with favorable tolerability, while pirfenidone 801 mg TID had a 54.1% treatment effect versus placebo</w:t>
      </w:r>
    </w:p>
    <w:p>
      <w:pPr>
        <w:spacing w:after="0" w:line="73"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8"/>
          <w:szCs w:val="18"/>
          <w:i w:val="1"/>
          <w:iCs w:val="1"/>
          <w:color w:val="auto"/>
        </w:rPr>
        <w:t>Deupirfenidone was generally well-tolerated with a favorable adverse event profile at both doses studied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i w:val="1"/>
          <w:iCs w:val="1"/>
          <w:color w:val="auto"/>
        </w:rPr>
        <w:t>Data support continued development of deupirfenidone and highlight its potential to serve as a new standard-of-care treatment for IPF Company to host</w:t>
      </w:r>
    </w:p>
    <w:p>
      <w:pPr>
        <w:spacing w:after="0" w:line="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a webcast and conference call today at 9:00am EST / 2:00pm GMT</w:t>
      </w:r>
    </w:p>
    <w:p>
      <w:pPr>
        <w:spacing w:after="0" w:line="207"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announced positive results from ELEVATE IPF, a Phase 2b randomized, double-blind, active- and placebo-controlled, dose-ranging trial evaluating deupirfenidone (LYT-100) at two dose levels three times a day (TID) over 26 weeks in patients with idiopathic pulmonary fibrosis (IPF).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2" w:lineRule="exact"/>
        <w:rPr>
          <w:sz w:val="20"/>
          <w:szCs w:val="20"/>
          <w:color w:val="auto"/>
        </w:rPr>
      </w:pPr>
    </w:p>
    <w:p>
      <w:pPr>
        <w:jc w:val="both"/>
        <w:ind w:left="424" w:right="600" w:hanging="424"/>
        <w:spacing w:after="0" w:line="219" w:lineRule="auto"/>
        <w:tabs>
          <w:tab w:leader="none" w:pos="424" w:val="left"/>
        </w:tabs>
        <w:numPr>
          <w:ilvl w:val="0"/>
          <w:numId w:val="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Maher, T., Chen, M., Korth, C., Elenko, E., Harnett, M., Garg, V., Graham, C., Fares, W., Krop, J. (2023). </w:t>
      </w:r>
      <w:r>
        <w:rPr>
          <w:rFonts w:ascii="Times New Roman" w:cs="Times New Roman" w:eastAsia="Times New Roman" w:hAnsi="Times New Roman"/>
          <w:sz w:val="17"/>
          <w:szCs w:val="17"/>
          <w:i w:val="1"/>
          <w:iCs w:val="1"/>
          <w:color w:val="auto"/>
        </w:rPr>
        <w:t>Deupirfenidone (LYT-100) dose-selection rationale for a Phase 2b idiopathic pulmonary fibrosis study — ELEVATE IPF</w:t>
      </w:r>
      <w:r>
        <w:rPr>
          <w:rFonts w:ascii="Times New Roman" w:cs="Times New Roman" w:eastAsia="Times New Roman" w:hAnsi="Times New Roman"/>
          <w:sz w:val="17"/>
          <w:szCs w:val="17"/>
          <w:color w:val="auto"/>
        </w:rPr>
        <w:t>. Poster presented at the CHEST Annual Meeting,</w:t>
      </w:r>
    </w:p>
    <w:p>
      <w:pPr>
        <w:spacing w:after="0" w:line="199" w:lineRule="exact"/>
        <w:rPr>
          <w:sz w:val="20"/>
          <w:szCs w:val="20"/>
          <w:color w:val="auto"/>
        </w:rPr>
      </w:pPr>
    </w:p>
    <w:p>
      <w:pPr>
        <w:ind w:left="424" w:right="40" w:hanging="424"/>
        <w:spacing w:after="0" w:line="231"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FVC decline at 6 months was estimated assuming linear decline over time. Valenzuela, C., Bonella, F., Moor, C., Weimann, G., Miede, C., Stowasser, S., Maher, T. (2024). </w:t>
      </w:r>
      <w:r>
        <w:rPr>
          <w:rFonts w:ascii="Times New Roman" w:cs="Times New Roman" w:eastAsia="Times New Roman" w:hAnsi="Times New Roman"/>
          <w:sz w:val="18"/>
          <w:szCs w:val="18"/>
          <w:i w:val="1"/>
          <w:iCs w:val="1"/>
          <w:color w:val="auto"/>
        </w:rPr>
        <w:t>Decline in forced vital capacity (FVC) in subjects with idiopathic pulmonary fibrosis (IPF) and progressive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pulmonary fibrosis (PPF) compared with healthy references</w:t>
      </w:r>
      <w:r>
        <w:rPr>
          <w:rFonts w:ascii="Times New Roman" w:cs="Times New Roman" w:eastAsia="Times New Roman" w:hAnsi="Times New Roman"/>
          <w:sz w:val="18"/>
          <w:szCs w:val="18"/>
          <w:color w:val="auto"/>
        </w:rPr>
        <w:t>. Poster presented at the European Respiratory Society International Congress, Vienna,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Austria; and Luoto, J., Pihlsgård, M., Wollmer, P., &amp; Elmståhl, S. (2019). Relative and absolute lung function change in a general population aged 60-102 years. </w:t>
      </w:r>
      <w:r>
        <w:rPr>
          <w:rFonts w:ascii="Times New Roman" w:cs="Times New Roman" w:eastAsia="Times New Roman" w:hAnsi="Times New Roman"/>
          <w:sz w:val="18"/>
          <w:szCs w:val="18"/>
          <w:i w:val="1"/>
          <w:iCs w:val="1"/>
          <w:color w:val="auto"/>
        </w:rPr>
        <w:t>The European Respiratory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53</w:t>
      </w:r>
      <w:r>
        <w:rPr>
          <w:rFonts w:ascii="Times New Roman" w:cs="Times New Roman" w:eastAsia="Times New Roman" w:hAnsi="Times New Roman"/>
          <w:sz w:val="18"/>
          <w:szCs w:val="18"/>
          <w:color w:val="auto"/>
        </w:rPr>
        <w:t>(3), 1701812. https://doi.org/10.1183/13993003.01812-2017</w:t>
      </w:r>
    </w:p>
    <w:p>
      <w:pPr>
        <w:sectPr>
          <w:pgSz w:w="11900" w:h="16838" w:orient="portrait"/>
          <w:cols w:equalWidth="0" w:num="1">
            <w:col w:w="11024"/>
          </w:cols>
          <w:pgMar w:left="436" w:top="117" w:right="439" w:bottom="1440" w:gutter="0" w:footer="0" w:header="0"/>
        </w:sectPr>
      </w:pPr>
    </w:p>
    <w:bookmarkStart w:id="4" w:name="page5"/>
    <w:bookmarkEnd w:id="4"/>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ELEVATE IPF trial broke new ground in Phase 2 trial design in IPF; this was the first time that a new therapy (deupirfenidone) has been evaluated alongside one of the two existing standard-of-care treatments (pirfenidone),” said Toby Maher, M.D., Ph.D., Professor of Medicine and Director of Interstitial Lung Disease at Keck School of Medicine, University of Southern California, Los Angeles, and lead investigator in the ELEVATE IPF trial. “Deupirfenidone 825 mg TID reduced lung function decline to near-physiologic levels over 26 weeks and had an effect size, compared with placebo, that was approximately 50% greater than that seen with pirfenidone. Deupirfenidone has the potential to offer patients a highly effective and tolerable treatment option. These are extremely exciting results from a Phase 2b trial, and I am very enthusiastic about the continued development of deupirfenidone.”</w:t>
      </w:r>
    </w:p>
    <w:p>
      <w:pPr>
        <w:spacing w:after="0" w:line="189"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8"/>
          <w:szCs w:val="18"/>
          <w:color w:val="auto"/>
        </w:rPr>
        <w:t>Participants in the trial were randomized 1:1:1:1 to receive deupirfenidone 550 mg, deupirfenidone 825 mg, pirfenidone 801 mg (the FDA-approved dose), or placebo TID for 26 weeks, and had the option to enroll in an ongoing, open-label extension study. The two doses of deupirfenidone were chosen based on PureTech’s Phase 1 data, which showed that a 550 mg TID dose of deupirfenidone provided approximately equivalent drug exposure to pirfenidone, 801 mg TID.</w:t>
      </w:r>
      <w:r>
        <w:rPr>
          <w:rFonts w:ascii="Times New Roman" w:cs="Times New Roman" w:eastAsia="Times New Roman" w:hAnsi="Times New Roman"/>
          <w:sz w:val="26"/>
          <w:szCs w:val="26"/>
          <w:color w:val="auto"/>
          <w:vertAlign w:val="superscript"/>
        </w:rPr>
        <w:t>1</w:t>
      </w:r>
    </w:p>
    <w:p>
      <w:pPr>
        <w:spacing w:after="0" w:line="49"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trial achieved its primary endpoint based on the prespecified Bayesian analysis, with a 98.5% posterior probability. This means there is a 98.5% probability that the pooled deupirfenidone arms were superior to placebo in slowing the rate of lung function decline in people with IPF, as measured by forced vital capacity (FVC) at 26 weeks. The trial also successfully demonstrated a dose-dependent response.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rate of FVC decline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at week 26 with:</w:t>
      </w:r>
    </w:p>
    <w:p>
      <w:pPr>
        <w:spacing w:after="0" w:line="58" w:lineRule="exact"/>
        <w:rPr>
          <w:sz w:val="20"/>
          <w:szCs w:val="20"/>
          <w:color w:val="auto"/>
        </w:rPr>
      </w:pPr>
    </w:p>
    <w:p>
      <w:pPr>
        <w:ind w:left="964" w:right="420" w:hanging="424"/>
        <w:spacing w:after="0" w:line="229"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deupirfenidone 825 mg TID compared to placebo was statistically significant (-21.5 mL vs. -112.5 mL, respectively; p=0.02)</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and represents a robust treatment effect of 80.9% as a monotherapy; for context, the level of six-month natural decline in lung function as measured by FVC expected in healthy adults over 60 years old is approximately -15.0 mL to -25.0 mL.</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964" w:right="560" w:hanging="424"/>
        <w:spacing w:after="0" w:line="280"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pirfenidone 801 mg TID showed a treatment effect of 54.1% compared to placebo (-51.6 mL vs. -112.5 mL, respectively), which is consistent with previously reported pirfenidone clinical trial data.</w:t>
      </w:r>
      <w:r>
        <w:rPr>
          <w:rFonts w:ascii="Times New Roman" w:cs="Times New Roman" w:eastAsia="Times New Roman" w:hAnsi="Times New Roman"/>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5" w:lineRule="exact"/>
        <w:rPr>
          <w:sz w:val="20"/>
          <w:szCs w:val="20"/>
          <w:color w:val="auto"/>
        </w:rPr>
      </w:pPr>
    </w:p>
    <w:p>
      <w:pPr>
        <w:jc w:val="both"/>
        <w:ind w:left="424" w:right="300" w:hanging="424"/>
        <w:spacing w:after="0" w:line="218" w:lineRule="auto"/>
        <w:tabs>
          <w:tab w:leader="none" w:pos="424"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Efficacy analyses used a random coefficient regression model with absolute FVC or FVCpp including baseline as response variable and week, treatment and interaction between week and treatment as fixed effect. The analyses were performed based on the predefined Full Analysis Set.</w:t>
      </w:r>
    </w:p>
    <w:p>
      <w:pPr>
        <w:ind w:left="424" w:hanging="424"/>
        <w:spacing w:after="0" w:line="181" w:lineRule="auto"/>
        <w:tabs>
          <w:tab w:leader="none" w:pos="424"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All p values are two-sided and have not been corrected for multiplicity.</w:t>
      </w:r>
    </w:p>
    <w:p>
      <w:pPr>
        <w:spacing w:after="0" w:line="2" w:lineRule="exact"/>
        <w:rPr>
          <w:sz w:val="20"/>
          <w:szCs w:val="20"/>
          <w:color w:val="auto"/>
        </w:rPr>
      </w:pPr>
    </w:p>
    <w:p>
      <w:pPr>
        <w:jc w:val="both"/>
        <w:ind w:left="424" w:right="4840" w:hanging="424"/>
        <w:spacing w:after="0" w:line="209" w:lineRule="auto"/>
        <w:tabs>
          <w:tab w:leader="none" w:pos="424"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Roche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(2014). </w:t>
      </w:r>
      <w:r>
        <w:rPr>
          <w:rFonts w:ascii="Times New Roman" w:cs="Times New Roman" w:eastAsia="Times New Roman" w:hAnsi="Times New Roman"/>
          <w:sz w:val="17"/>
          <w:szCs w:val="17"/>
          <w:i w:val="1"/>
          <w:iCs w:val="1"/>
          <w:color w:val="auto"/>
        </w:rPr>
        <w:t>Esbriet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(pirfenidone) prescribing information</w:t>
      </w:r>
      <w:r>
        <w:rPr>
          <w:rFonts w:ascii="Times New Roman" w:cs="Times New Roman" w:eastAsia="Times New Roman" w:hAnsi="Times New Roman"/>
          <w:sz w:val="17"/>
          <w:szCs w:val="17"/>
          <w:color w:val="auto"/>
        </w:rPr>
        <w:t xml:space="preserve">. Retrieved from </w:t>
      </w:r>
      <w:r>
        <w:rPr>
          <w:rFonts w:ascii="Times New Roman" w:cs="Times New Roman" w:eastAsia="Times New Roman" w:hAnsi="Times New Roman"/>
          <w:sz w:val="17"/>
          <w:szCs w:val="17"/>
          <w:u w:val="single" w:color="auto"/>
          <w:color w:val="auto"/>
        </w:rPr>
        <w:t>https://www.accessdata.fda.gov/drugsatfda_docs/label/2014/022535s000lbl.pdf</w:t>
      </w:r>
    </w:p>
    <w:p>
      <w:pPr>
        <w:sectPr>
          <w:pgSz w:w="11900" w:h="16838" w:orient="portrait"/>
          <w:cols w:equalWidth="0" w:num="1">
            <w:col w:w="10984"/>
          </w:cols>
          <w:pgMar w:left="436" w:top="270" w:right="479" w:bottom="1440" w:gutter="0" w:footer="0" w:header="0"/>
        </w:sectPr>
      </w:pPr>
    </w:p>
    <w:bookmarkStart w:id="5" w:name="page6"/>
    <w:bookmarkEnd w:id="5"/>
    <w:p>
      <w:pPr>
        <w:ind w:left="4"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trial also achieved its key secondary endpoint based on a prespecified Bayesian analysis, with a posterior probability of 99.6%. This means that there is a 99.6% probability that the pooled deupirfenidone arms were superior to placebo in slowing the rate of lung function decline in people with IPF, as measured by the forced vital capacity percent predicted (FVCpp) from baseline to week 26. While FVCpp and FVC (the primary endpoint) are both measures of lung function, FVCpp accounts for key patient characteristics (age, sex, height, race) and therefore normalizes the results at the patient level. Deupirfenidone 825 mg TID also demonstrated a benefit on this endpoint compared to placebo that was statistically significant (-0.43 vs. -3.43, respectively; p=0.01),</w:t>
      </w:r>
      <w:r>
        <w:rPr>
          <w:rFonts w:ascii="Times New Roman" w:cs="Times New Roman" w:eastAsia="Times New Roman" w:hAnsi="Times New Roman"/>
          <w:sz w:val="26"/>
          <w:szCs w:val="26"/>
          <w:color w:val="auto"/>
          <w:vertAlign w:val="superscript"/>
        </w:rPr>
        <w:t>3,4</w:t>
      </w:r>
      <w:r>
        <w:rPr>
          <w:rFonts w:ascii="Times New Roman" w:cs="Times New Roman" w:eastAsia="Times New Roman" w:hAnsi="Times New Roman"/>
          <w:sz w:val="18"/>
          <w:szCs w:val="18"/>
          <w:color w:val="auto"/>
        </w:rPr>
        <w:t xml:space="preserve"> reinforcing the robustness of the treatment’s impact.</w:t>
      </w:r>
    </w:p>
    <w:p>
      <w:pPr>
        <w:spacing w:after="0" w:line="6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Placebo TID</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Pirfenidone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Deupirfenidone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Deupirfenidone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801 mg TID</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550 mg TID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825 mg TID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(N=65)</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(N=61)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(N=65)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(N=63)</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from Baseline in FVC (mL) over 26 Weeks (SE)</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-112.5 (27.84)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-51.6 (29.13)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-80.7 (29.32)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 (28.86)</w:t>
            </w:r>
          </w:p>
        </w:tc>
        <w:tc>
          <w:tcPr>
            <w:tcW w:w="0" w:type="dxa"/>
            <w:vAlign w:val="bottom"/>
          </w:tcPr>
          <w:p>
            <w:pPr>
              <w:spacing w:after="0"/>
              <w:rPr>
                <w:sz w:val="1"/>
                <w:szCs w:val="1"/>
                <w:color w:val="auto"/>
              </w:rPr>
            </w:pPr>
          </w:p>
        </w:tc>
      </w:tr>
      <w:tr>
        <w:trPr>
          <w:trHeight w:val="198"/>
        </w:trPr>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Difference in FVC (mL) vs. Placebo (95% CI)</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31.8</w:t>
            </w:r>
          </w:p>
        </w:tc>
        <w:tc>
          <w:tcPr>
            <w:tcW w:w="10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91.0</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1"/>
        </w:trPr>
        <w:tc>
          <w:tcPr>
            <w:tcW w:w="6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(-18.3, 140.0)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(-47.6, 111.2)</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(12.2, 169.7)</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from Baseline in FVCpp (%) over 26 Weeks (SE)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-3.43 (0.842)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-1.46 (0.881)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 (0.886)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-0.43 (0.872)</w:t>
            </w:r>
          </w:p>
        </w:tc>
        <w:tc>
          <w:tcPr>
            <w:tcW w:w="0" w:type="dxa"/>
            <w:vAlign w:val="bottom"/>
          </w:tcPr>
          <w:p>
            <w:pPr>
              <w:spacing w:after="0"/>
              <w:rPr>
                <w:sz w:val="1"/>
                <w:szCs w:val="1"/>
                <w:color w:val="auto"/>
              </w:rPr>
            </w:pPr>
          </w:p>
        </w:tc>
      </w:tr>
      <w:tr>
        <w:trPr>
          <w:trHeight w:val="198"/>
        </w:trPr>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Difference in FVCpp (%) vs. Placebo (95% CI)</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1.62</w:t>
            </w:r>
          </w:p>
        </w:tc>
        <w:tc>
          <w:tcPr>
            <w:tcW w:w="10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3.00</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 4.37)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(-0.78, 4.02)</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(0.62, 5.38)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at 0.05 level; p values are two-sided and have not been corrected for multiplicity.</w:t>
      </w:r>
    </w:p>
    <w:p>
      <w:pPr>
        <w:spacing w:after="0" w:line="117"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Efficacy analyses used a random coefficient regression model with absolute FVC or FVCpp including baseline as response variable and week, treatment and interaction between week and treatment as fixed effect. The analyses were performed based on the predefined Full Analysis Set. SE = standard error; CI = confidence interval</w:t>
      </w:r>
    </w:p>
    <w:p>
      <w:pPr>
        <w:spacing w:after="0" w:line="176"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“Our goal in developing deupirfenidone is to offer better outcomes to people living with IPF. The adoption and adherence of currently approved antifibrotics has been limited by a tradeoff between efficacy and tolerability, specifically related to gastrointestinal adverse events. This prevents many patients from initiating treatment or maintaining optimal therapeutic doses and, in turn, achieving the best possible outcomes,” said Eric Elenko, Ph.D., President and Co-founder of PureTech. “I could not be more pleased that deupirfenidone showed a favorable tolerability profile at both doses evaluated and – most importantly – has demonstrated the potential to offer patients enhanced efficacy at the higher dose.”</w:t>
      </w:r>
    </w:p>
    <w:p>
      <w:pPr>
        <w:spacing w:after="0" w:line="183"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Both doses of deupirfenidone were generally well-tolerated in the trial. The overall number of patients experiencing any gastrointestinal (GI)-related adverse events (AEs) was similar across the deupirfenidone 825 mg TID and pirfenidone 801 mg TID arms. Deupirfenidone 825 mg TID demonstrated a favorable tolerability profile compared to pirfenidone 801 mg TID, with a lower percentage of patients reporting key GI AEs that occurred in ≥5% of participants in at least one arm: nausea (20.3% vs. 27.0%), dyspepsia (14.1% vs. 22.2%), diarrhea (7.8% vs. 11.1%), constipation (4.7% vs. 6.3%) and vomiting (1.6% vs. 3.2%). The only key GI AE increase observed was abdominal pain (14.1% vs. 7.9%). There were five deaths in the pirfenidone arm, two deaths in the placebo arm and one death in each of the deupirfenidone arms. None of the deaths was deemed to be treatment related.</w:t>
      </w:r>
    </w:p>
    <w:p>
      <w:pPr>
        <w:sectPr>
          <w:pgSz w:w="11900" w:h="16838" w:orient="portrait"/>
          <w:cols w:equalWidth="0" w:num="1">
            <w:col w:w="11024"/>
          </w:cols>
          <w:pgMar w:left="436" w:top="270" w:right="4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Overall, 187 out of 257 patients completed the trial: 43 out of 63 patients in the pirfenidone 801 mg TID arm; 42 out of 65 patients in the deupirfenidone 550 mg TID arm; 50 out of 64 patients in the deupirfenidone 825 mg TID arm; and 52 of 65 patients in the placebo arm.</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Of those who completed the trial, 170 patients (more than 90%) opted to enroll in an ongoing open-label extension (OLE) evaluating the two doses of deupirfenidone. To date, preliminary data support a durable treatment effect and a consistent tolerability profile with deupirfenidone 825 mg. Across the randomized trial and OLE, the longest treatment duration with deupirfenidone 825 mg TID is 79 weeks and with deupirfenidone 550 mg TID is 81 weeks.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“These data are remarkable, particularly for a monotherapy, and – if supported by a Phase 3 trial – would represent a step change in the treatment of IPF,” said Bharatt Chowrira, Ph.D., J.D., CEO of PureTech. “At PureTech, our approach is centered on identifying simple and elegant solutions to big problems that underlie tremendous patient need, and we are proud that our R&amp;D engine has generated another potentially transformative treatment. We are committed to the rapid advancement of deupirfenidone, with the goal of delivering a new standard of care to patients while generating value for our shareholders. On behalf of the entire PureTech team, I extend my sincere gratitude to the people living with IPF, their caregivers, the clinical trial investigators and advocacy groups as well as our talented team for supporting this mission.”</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PureTech is committed to continuing development of deupirfenidone and intends to discuss the Phase 2b results with regulatory authorities to align on the appropriate path forward. Additional data from this trial will be presented at a future forum.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Details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Members of the PureTech management team will host a conference call at 9:00am EST / 2:00pm GMT today, December 16, 2024, to discuss these results. A live webcast and presentation slides will be available on the investors section of PureTech’s website under the </w:t>
      </w:r>
      <w:r>
        <w:rPr>
          <w:rFonts w:ascii="Times New Roman" w:cs="Times New Roman" w:eastAsia="Times New Roman" w:hAnsi="Times New Roman"/>
          <w:sz w:val="18"/>
          <w:szCs w:val="18"/>
          <w:u w:val="single" w:color="auto"/>
          <w:color w:val="auto"/>
        </w:rPr>
        <w:t>Events and Presentations tab</w:t>
      </w:r>
      <w:r>
        <w:rPr>
          <w:rFonts w:ascii="Times New Roman" w:cs="Times New Roman" w:eastAsia="Times New Roman" w:hAnsi="Times New Roman"/>
          <w:sz w:val="18"/>
          <w:szCs w:val="18"/>
          <w:color w:val="auto"/>
        </w:rPr>
        <w:t>. To join by phone, please dial: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United Kingdom (Local): </w:t>
      </w:r>
      <w:r>
        <w:rPr>
          <w:rFonts w:ascii="Times New Roman" w:cs="Times New Roman" w:eastAsia="Times New Roman" w:hAnsi="Times New Roman"/>
          <w:sz w:val="18"/>
          <w:szCs w:val="18"/>
          <w:color w:val="auto"/>
        </w:rPr>
        <w:t>+44 20 3936 2999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United Kingdom (Toll-Free): </w:t>
      </w:r>
      <w:r>
        <w:rPr>
          <w:rFonts w:ascii="Times New Roman" w:cs="Times New Roman" w:eastAsia="Times New Roman" w:hAnsi="Times New Roman"/>
          <w:sz w:val="18"/>
          <w:szCs w:val="18"/>
          <w:color w:val="auto"/>
        </w:rPr>
        <w:t>+44 800 358 1035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United States (Local): </w:t>
      </w:r>
      <w:r>
        <w:rPr>
          <w:rFonts w:ascii="Times New Roman" w:cs="Times New Roman" w:eastAsia="Times New Roman" w:hAnsi="Times New Roman"/>
          <w:sz w:val="18"/>
          <w:szCs w:val="18"/>
          <w:color w:val="auto"/>
        </w:rPr>
        <w:t>+1 646 787 9445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United States (Toll-Free): </w:t>
      </w:r>
      <w:r>
        <w:rPr>
          <w:rFonts w:ascii="Times New Roman" w:cs="Times New Roman" w:eastAsia="Times New Roman" w:hAnsi="Times New Roman"/>
          <w:sz w:val="18"/>
          <w:szCs w:val="18"/>
          <w:color w:val="auto"/>
        </w:rPr>
        <w:t>+1 855 9796 654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International: </w:t>
      </w:r>
      <w:r>
        <w:rPr>
          <w:rFonts w:ascii="Times New Roman" w:cs="Times New Roman" w:eastAsia="Times New Roman" w:hAnsi="Times New Roman"/>
          <w:sz w:val="18"/>
          <w:szCs w:val="18"/>
          <w:color w:val="auto"/>
        </w:rPr>
        <w:t>+44 20 3936 2999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Access Code: </w:t>
      </w:r>
      <w:r>
        <w:rPr>
          <w:rFonts w:ascii="Times New Roman" w:cs="Times New Roman" w:eastAsia="Times New Roman" w:hAnsi="Times New Roman"/>
          <w:sz w:val="18"/>
          <w:szCs w:val="18"/>
          <w:color w:val="auto"/>
        </w:rPr>
        <w:t>860033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unable to listen to the call live, a replay will be available on the PureTech website.</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the ELEVATE IPF Trial</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Phase 2b ELEVATE IPF trial was a randomized, double-blind, active- and placebo-controlled, dose-ranging trial designed to evaluate the efficacy, tolerability, safety and dosing regimen of deupirfenidone (LYT-100) in patients with IPF compared to placebo. 257 participants were randomized in a ratio of 1:1:1:1 to receive either 550 mg of deupirfenidone, 825 mg of deupirfenidone, 801 mg pirfenidone or placebo three times a day (TID) for 26 weeks. Participants who completed the trial had the option to enroll in an open-label extension, which is ongoing.</w:t>
      </w:r>
    </w:p>
    <w:p>
      <w:pPr>
        <w:spacing w:after="0" w:line="180"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primary endpoint of the trial was the rate of decline in Forced Vital Capacity (FVC) for the combined deupirfenidone arms versus placebo over the 26-week treatment period. FVC is a measure of the maximum amount of air (in mL) that an individual can forcibly exhale after fully inhaling. It is a standard measurement in clinical trials for IPF and is used to assess disease progression as well as to predict mortality.</w:t>
      </w:r>
    </w:p>
    <w:p>
      <w:pPr>
        <w:spacing w:after="0" w:line="176" w:lineRule="exact"/>
        <w:rPr>
          <w:sz w:val="20"/>
          <w:szCs w:val="20"/>
          <w:color w:val="auto"/>
        </w:rPr>
      </w:pPr>
    </w:p>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t>A prespecified Bayesian analysis was utilized to assess the primary endpoint and provided a posterior probability, which is the probability of a positive treatment difference for deupirfenidone compared to placebo. This also allowed for augmentation of the placebo arm with placebo data from historical IPF trials. This approach enabled a more patient-centric clinical trial design by minimizing the number of trial participants exposed to placebo—a key consideration since IPF is progressive and fatal—while delivering a robust, placebo-controlled dataset.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Deupirfenidone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Deupirfenidone is a deuterated form of pirfenidone, which is one of the two standard-of-care treatments approved to treat IPF, in addition to nintedanib.</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Deuteration is intended to make deupirfenidone break down more slowly in the body than pirfenidone.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Idiopathic Pulmonary Fibrosis (IPF)</w:t>
      </w:r>
    </w:p>
    <w:p>
      <w:pPr>
        <w:spacing w:after="0" w:line="121" w:lineRule="exact"/>
        <w:rPr>
          <w:sz w:val="20"/>
          <w:szCs w:val="20"/>
          <w:color w:val="auto"/>
        </w:rPr>
      </w:pPr>
    </w:p>
    <w:p>
      <w:pPr>
        <w:ind w:left="4"/>
        <w:spacing w:after="0" w:line="209" w:lineRule="auto"/>
        <w:rPr>
          <w:sz w:val="20"/>
          <w:szCs w:val="20"/>
          <w:color w:val="auto"/>
        </w:rPr>
      </w:pPr>
      <w:r>
        <w:rPr>
          <w:rFonts w:ascii="Times New Roman" w:cs="Times New Roman" w:eastAsia="Times New Roman" w:hAnsi="Times New Roman"/>
          <w:sz w:val="18"/>
          <w:szCs w:val="18"/>
          <w:color w:val="auto"/>
        </w:rPr>
        <w:t>IPF is a rare, progressive and fatal lung disease with a median survival of 2-5 years.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Pirfenidone is one of only two drugs approved to treat IPF, and for those patients able to tolerate treatment, it has been shown to improve survival by approximately 2.5 years compared to supportive care alone.</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However, tolerability issues with both of the standard-of-care medications result in patients discontinuing treatment or reducing their dose. This contributes to nearly three out of every four people with IPF in the US not receiving treatment with these otherwise efficacious medicines.</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There are over 232,000 people in the US and the EU5 countries (Italy, Spain, France, Germany and the United Kingdom) living with IPF.</w:t>
      </w:r>
      <w:r>
        <w:rPr>
          <w:rFonts w:ascii="Times New Roman" w:cs="Times New Roman" w:eastAsia="Times New Roman" w:hAnsi="Times New Roman"/>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16"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Fisher M, Nathan SD, Hill C, et al. Predicting Life Expectancy for Pirfenidone in Idiopathic Pulmonary Fibrosis. </w:t>
      </w:r>
      <w:r>
        <w:rPr>
          <w:rFonts w:ascii="Times New Roman" w:cs="Times New Roman" w:eastAsia="Times New Roman" w:hAnsi="Times New Roman"/>
          <w:sz w:val="18"/>
          <w:szCs w:val="18"/>
          <w:i w:val="1"/>
          <w:iCs w:val="1"/>
          <w:color w:val="auto"/>
        </w:rPr>
        <w:t>J Manag Care Spec Pharm</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2017;23(3-b Suppl):S17-S24. doi:10.18553/jmcp.2017.23.3-b.s17</w:t>
      </w:r>
    </w:p>
    <w:p>
      <w:pPr>
        <w:spacing w:after="0" w:line="7" w:lineRule="exact"/>
        <w:rPr>
          <w:sz w:val="20"/>
          <w:szCs w:val="20"/>
          <w:color w:val="auto"/>
        </w:rPr>
      </w:pPr>
    </w:p>
    <w:p>
      <w:pPr>
        <w:jc w:val="both"/>
        <w:ind w:left="424" w:right="580" w:hanging="424"/>
        <w:spacing w:after="0" w:line="209" w:lineRule="auto"/>
        <w:tabs>
          <w:tab w:leader="none" w:pos="424"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Dempsey, T. M., Payne, S., Sangaralingham, L., Yao, X., Shah, N. D., &amp; Limper, A. H. (2021). Adoption of the Antifibrotic Medications Pirfenidone and Nintedanib for Patients with Idiopathic Pulmonary Fibrosis. </w:t>
      </w:r>
      <w:r>
        <w:rPr>
          <w:rFonts w:ascii="Times New Roman" w:cs="Times New Roman" w:eastAsia="Times New Roman" w:hAnsi="Times New Roman"/>
          <w:sz w:val="17"/>
          <w:szCs w:val="17"/>
          <w:i w:val="1"/>
          <w:iCs w:val="1"/>
          <w:color w:val="auto"/>
        </w:rPr>
        <w:t>Annals of the American Thoracic Society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18</w:t>
      </w:r>
      <w:r>
        <w:rPr>
          <w:rFonts w:ascii="Times New Roman" w:cs="Times New Roman" w:eastAsia="Times New Roman" w:hAnsi="Times New Roman"/>
          <w:sz w:val="17"/>
          <w:szCs w:val="17"/>
          <w:color w:val="auto"/>
        </w:rPr>
        <w:t>(7), 1121–1128.</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https://doi.org/10.1513/AnnalsATS.202007-901OC</w:t>
      </w:r>
    </w:p>
    <w:p>
      <w:pPr>
        <w:ind w:left="424" w:hanging="424"/>
        <w:spacing w:after="0" w:line="180" w:lineRule="auto"/>
        <w:tabs>
          <w:tab w:leader="none" w:pos="424"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GlobalData Epidemiology and Market Size Search, EU5=United Kingdom, France, Germany, Italy and Spain</w:t>
      </w:r>
    </w:p>
    <w:p>
      <w:pPr>
        <w:sectPr>
          <w:pgSz w:w="11900" w:h="16838" w:orient="portrait"/>
          <w:cols w:equalWidth="0" w:num="1">
            <w:col w:w="10924"/>
          </w:cols>
          <w:pgMar w:left="436" w:top="266"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PureTech Health</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three that have been approved by the U.S. Food and Drug Administration. A number of these programs are being advanced by PureTech or its Founded Entities in various indications and stages of clinical development, including registration-enabling studies. All of the underlying programs and platforms that resulted in this pipeline of therapeutic candidates were initially identified or discovered and then advanced by the PureTech team through key validation points.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the LYT-100 development program and development plans, and its potential benefits to patients, plans for discussions with regulatory authorities, the further development of the program, future presentation of additional data from the trial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9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information contained within this announcement is deemed by the Company to constitute inside information as stipulated under the Market Abuse Regulations (EU) No. 596/2014 which forms part of UK domestic law by virtue of the European Union (Withdrawal) Act 2018 (‘MAR’). Upon the publication of this announcement via a Regulatory Information Service (‘RIS’), this inside information is now considered to be in the public domain.</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+1-609-578-7230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jchen@tenbridgecommunications.com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5"/>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6"/>
      <w:numFmt w:val="bullet"/>
      <w:start w:val="1"/>
    </w:lvl>
  </w:abstractNum>
  <w:abstractNum w:abstractNumId="8">
    <w:nsid w:val="12200854"/>
    <w:multiLevelType w:val="hybridMultilevel"/>
    <w:lvl w:ilvl="0">
      <w:lvlJc w:val="left"/>
      <w:lvlText w:val="7"/>
      <w:numFmt w:val="bullet"/>
      <w:start w:val="1"/>
    </w:lvl>
  </w:abstractNum>
  <w:abstractNum w:abstractNumId="9">
    <w:nsid w:val="4DB127F8"/>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2024-12-16T07:08:41Z</dcterms:created>
  <dcterms:modified xsi:type="dcterms:W3CDTF">2024-12-16T07:08:41Z</dcterms:modified>
</cp:coreProperties>
</file>