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17,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Bharatt Chowrira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PureTech Health plc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 Tide Street, Suite 400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Boston, MA 02210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PureTech Health plc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the fiscal year ended December 31, 2023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25, 2024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001-39670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Bharatt Chowrira: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4559"/>
        <w:spacing w:after="0" w:line="29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the fiscal year ended December 31, 2023 Notes to the Consolidated Financial Statements Note 5. Investments at Fair Value, page F-22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right="2119" w:firstLine="8"/>
        <w:spacing w:after="0" w:line="257" w:lineRule="auto"/>
        <w:tabs>
          <w:tab w:leader="none" w:pos="84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2023, you recognized a $61.7 million gain upon deconsolidation of Vedanta and a</w:t>
      </w:r>
    </w:p>
    <w:p>
      <w:pPr>
        <w:ind w:right="223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$27.2 gain upon deconsolidation of Sonde in 2022. Please provide an analysis supporting</w:t>
      </w:r>
    </w:p>
    <w:p>
      <w:pPr>
        <w:ind w:right="233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loss-of-control conclusions, including your consideration of Vedanta's issuance of</w:t>
      </w:r>
    </w:p>
    <w:p>
      <w:pPr>
        <w:ind w:right="223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convertible debt and Sonde's issuance of Series B preferred shares. Also, provide detailed</w:t>
      </w:r>
    </w:p>
    <w:p>
      <w:pPr>
        <w:ind w:right="233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calculations supporting these deconsolidation gains, including key assumptions used to</w:t>
      </w:r>
    </w:p>
    <w:p>
      <w:pPr>
        <w:ind w:right="19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 fair value of your retained investment and a description and quantification of</w:t>
      </w:r>
    </w:p>
    <w:p>
      <w:pPr>
        <w:ind w:right="21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 assets and liabilities for Vedanta and Sonde prior to their deconsolidation. In this</w:t>
      </w:r>
    </w:p>
    <w:p>
      <w:pPr>
        <w:ind w:right="18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regard, explain how you identified and valued assets and liabilities to be deconsolidated</w:t>
      </w:r>
    </w:p>
    <w:p>
      <w:pPr>
        <w:ind w:right="20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Vedanta and Sonde, and describe assets or liabilities associated with these entities</w:t>
      </w:r>
    </w:p>
    <w:p>
      <w:pPr>
        <w:ind w:right="21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remained in your consolidation (as applicable). Refer us to the technical guidance</w:t>
      </w:r>
    </w:p>
    <w:p>
      <w:pPr>
        <w:ind w:right="19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upon which you relied. In addition, explain the impact on your ongoing assessments of</w:t>
      </w:r>
    </w:p>
    <w:p>
      <w:pPr>
        <w:ind w:right="265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"power to control" and "significant influence" from contractual arrangements and</w:t>
      </w:r>
    </w:p>
    <w:p>
      <w:pPr>
        <w:ind w:right="813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17, 2024 Page 2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financing arrangements with these Founded Entities following their deconsolidation.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 disclosure accordingly.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8. Operating Expenses, page F-29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a breakdown of research and development expenses by development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project for each period presented, distinguishing between retained internal projects and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those subject to partnered programs with Founded Entities. Ensure that your response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addresses all research and development activities discussed in Key Performance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Indicators on page 67 of your Annual Report. Revise your disclosure accordingly.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ind w:right="26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Frank Wyman at 202-551-3660 or Daniel Gordon at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202-551-3486 with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24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Charles Sherwood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2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2024-12-17T23:10:43Z</dcterms:created>
  <dcterms:modified xsi:type="dcterms:W3CDTF">2024-12-17T23:10:43Z</dcterms:modified>
</cp:coreProperties>
</file>