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980"/>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980"/>
        <w:spacing w:after="0"/>
        <w:rPr>
          <w:sz w:val="20"/>
          <w:szCs w:val="20"/>
          <w:color w:val="auto"/>
        </w:rPr>
      </w:pPr>
      <w:r>
        <w:rPr>
          <w:rFonts w:ascii="Arial" w:cs="Arial" w:eastAsia="Arial" w:hAnsi="Arial"/>
          <w:sz w:val="22"/>
          <w:szCs w:val="22"/>
          <w:b w:val="1"/>
          <w:bCs w:val="1"/>
          <w:color w:val="auto"/>
        </w:rPr>
        <w:t>Pursuant to Rule 13a-16 or 15d-16</w:t>
      </w:r>
    </w:p>
    <w:p>
      <w:pPr>
        <w:jc w:val="center"/>
        <w:ind w:right="-980"/>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May, 2022</w:t>
      </w:r>
    </w:p>
    <w:p>
      <w:pPr>
        <w:spacing w:after="0" w:line="225" w:lineRule="exact"/>
        <w:rPr>
          <w:sz w:val="24"/>
          <w:szCs w:val="24"/>
          <w:color w:val="auto"/>
        </w:rPr>
      </w:pPr>
    </w:p>
    <w:p>
      <w:pPr>
        <w:ind w:left="4100"/>
        <w:spacing w:after="0"/>
        <w:rPr>
          <w:sz w:val="20"/>
          <w:szCs w:val="20"/>
          <w:color w:val="auto"/>
        </w:rPr>
      </w:pPr>
      <w:r>
        <w:rPr>
          <w:rFonts w:ascii="Arial" w:cs="Arial" w:eastAsia="Arial" w:hAnsi="Arial"/>
          <w:sz w:val="18"/>
          <w:szCs w:val="18"/>
          <w:b w:val="1"/>
          <w:bCs w:val="1"/>
          <w:color w:val="auto"/>
        </w:rPr>
        <w:t>Commission File Number 001-39670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980"/>
        <w:spacing w:after="0"/>
        <w:rPr>
          <w:sz w:val="20"/>
          <w:szCs w:val="20"/>
          <w:color w:val="auto"/>
        </w:rPr>
      </w:pPr>
      <w:r>
        <w:rPr>
          <w:rFonts w:ascii="Arial" w:cs="Arial" w:eastAsia="Arial" w:hAnsi="Arial"/>
          <w:sz w:val="43"/>
          <w:szCs w:val="43"/>
          <w:b w:val="1"/>
          <w:bCs w:val="1"/>
          <w:color w:val="auto"/>
        </w:rPr>
        <w:t>PURETECH HEALTH PLC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6 Tide Street, Suite 400</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Boston, Massachusetts 02210</w:t>
      </w:r>
    </w:p>
    <w:p>
      <w:pPr>
        <w:spacing w:after="0" w:line="2"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20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238760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On May 9, 2022, PureTech Health plc (LSE: PRTC, Nasdaq: PRTC) (the “Company”) announced the commencement of a $50 million share repurchase program (the “Program”) of its ordinary shares of one pence each (“Ordinary Shares”). The Company plans to execute the Program in two equal tranches. In respect of the first tranche, PureTech entered into an irrevocable non-discretionary instruction with Jefferies International Limited (“Jefferies”) in relation to the purchase by Jefferies of Ordinary Shares for an aggregate consideration (excluding expenses) of no greater than</w:t>
      </w:r>
    </w:p>
    <w:p>
      <w:pPr>
        <w:spacing w:after="0" w:line="1"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$25 million and the simultaneous on-sale of such Ordinary Shares by Jefferies to PureTech. Jefferies makes its trading decisions in relation to the Ordinary Shares independently of, and uninfluenced by, the Company. Purchases may continue during any close period to which the Company is subject. Any purchase of Ordinary Shares under the first tranche of the Program are carried out on the London Stock Exchange and any other UK recognized investment exchange which may be agreed, in accordance with pre-set parameters and in accordance with, and subject to limits, including those limits related to daily volume and price, prescribed by the Company’s general authority to repurchase Ordinary Shares granted by its shareholders at its most recent annual general meeting on May 27, 2021, Chapter 12 of the Financial Conduct Authority’s UK Listing Rules, Article 5(1) of Regulation (EU) No. 596/2014 (as incorporated into UK domestic law by the European Union (Withdrawal) Act 2018) and Commission Delegated Regulation (EU) 2016/1052 (as incorporated into UK domestic law by the European Union (Withdrawal) Act 2018). All Ordinary Shares repurchased under the Program will be held in treasury.</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During the month ended May 31, 2022, the Company had the following daily purchases of its own Ordinary Shares under the Program through Jefferies:</w:t>
      </w:r>
    </w:p>
    <w:p>
      <w:pPr>
        <w:spacing w:after="0" w:line="254"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64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w w:val="93"/>
              </w:rPr>
              <w:t>Ordinary Shares</w:t>
            </w:r>
          </w:p>
        </w:tc>
        <w:tc>
          <w:tcPr>
            <w:tcW w:w="18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1"/>
              </w:rPr>
              <w:t>Volume Weighted</w:t>
            </w: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w:t>
            </w:r>
          </w:p>
        </w:tc>
        <w:tc>
          <w:tcPr>
            <w:tcW w:w="3420" w:type="dxa"/>
            <w:vAlign w:val="bottom"/>
            <w:vMerge w:val="restart"/>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8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2"/>
              </w:rPr>
              <w:t>Average Price Paid</w:t>
            </w:r>
          </w:p>
        </w:tc>
        <w:tc>
          <w:tcPr>
            <w:tcW w:w="176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w w:val="91"/>
              </w:rPr>
              <w:t>Highest Price Paid</w:t>
            </w:r>
          </w:p>
        </w:tc>
        <w:tc>
          <w:tcPr>
            <w:tcW w:w="116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90"/>
              </w:rPr>
              <w:t>Lowest Price Paid</w:t>
            </w:r>
          </w:p>
        </w:tc>
        <w:tc>
          <w:tcPr>
            <w:tcW w:w="0" w:type="dxa"/>
            <w:vAlign w:val="bottom"/>
          </w:tcPr>
          <w:p>
            <w:pPr>
              <w:spacing w:after="0"/>
              <w:rPr>
                <w:sz w:val="1"/>
                <w:szCs w:val="1"/>
                <w:color w:val="auto"/>
              </w:rPr>
            </w:pPr>
          </w:p>
        </w:tc>
      </w:tr>
      <w:tr>
        <w:trPr>
          <w:trHeight w:val="178"/>
        </w:trPr>
        <w:tc>
          <w:tcPr>
            <w:tcW w:w="300" w:type="dxa"/>
            <w:vAlign w:val="bottom"/>
            <w:tcBorders>
              <w:bottom w:val="single" w:sz="8" w:color="auto"/>
            </w:tcBorders>
            <w:vMerge w:val="continue"/>
          </w:tcPr>
          <w:p>
            <w:pPr>
              <w:spacing w:after="0"/>
              <w:rPr>
                <w:sz w:val="15"/>
                <w:szCs w:val="15"/>
                <w:color w:val="auto"/>
              </w:rPr>
            </w:pPr>
          </w:p>
        </w:tc>
        <w:tc>
          <w:tcPr>
            <w:tcW w:w="3420" w:type="dxa"/>
            <w:vAlign w:val="bottom"/>
            <w:vMerge w:val="continue"/>
          </w:tcPr>
          <w:p>
            <w:pPr>
              <w:spacing w:after="0"/>
              <w:rPr>
                <w:sz w:val="15"/>
                <w:szCs w:val="15"/>
                <w:color w:val="auto"/>
              </w:rPr>
            </w:pPr>
          </w:p>
        </w:tc>
        <w:tc>
          <w:tcPr>
            <w:tcW w:w="1640" w:type="dxa"/>
            <w:vAlign w:val="bottom"/>
            <w:gridSpan w:val="2"/>
          </w:tcPr>
          <w:p>
            <w:pPr>
              <w:ind w:left="120"/>
              <w:spacing w:after="0" w:line="158" w:lineRule="exact"/>
              <w:rPr>
                <w:sz w:val="20"/>
                <w:szCs w:val="20"/>
                <w:color w:val="auto"/>
              </w:rPr>
            </w:pPr>
            <w:r>
              <w:rPr>
                <w:rFonts w:ascii="Arial" w:cs="Arial" w:eastAsia="Arial" w:hAnsi="Arial"/>
                <w:sz w:val="14"/>
                <w:szCs w:val="14"/>
                <w:b w:val="1"/>
                <w:bCs w:val="1"/>
                <w:color w:val="auto"/>
              </w:rPr>
              <w:t>Repurchased</w:t>
            </w:r>
          </w:p>
        </w:tc>
        <w:tc>
          <w:tcPr>
            <w:tcW w:w="1840" w:type="dxa"/>
            <w:vAlign w:val="bottom"/>
            <w:gridSpan w:val="2"/>
          </w:tcPr>
          <w:p>
            <w:pPr>
              <w:jc w:val="center"/>
              <w:ind w:right="620"/>
              <w:spacing w:after="0" w:line="158" w:lineRule="exact"/>
              <w:rPr>
                <w:sz w:val="20"/>
                <w:szCs w:val="20"/>
                <w:color w:val="auto"/>
              </w:rPr>
            </w:pPr>
            <w:r>
              <w:rPr>
                <w:rFonts w:ascii="Arial" w:cs="Arial" w:eastAsia="Arial" w:hAnsi="Arial"/>
                <w:sz w:val="14"/>
                <w:szCs w:val="14"/>
                <w:b w:val="1"/>
                <w:bCs w:val="1"/>
                <w:color w:val="auto"/>
                <w:w w:val="96"/>
              </w:rPr>
              <w:t>per Ordinary Share</w:t>
            </w:r>
          </w:p>
        </w:tc>
        <w:tc>
          <w:tcPr>
            <w:tcW w:w="1760" w:type="dxa"/>
            <w:vAlign w:val="bottom"/>
            <w:gridSpan w:val="2"/>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May 9, 2022</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29,545</w:t>
            </w:r>
          </w:p>
        </w:tc>
        <w:tc>
          <w:tcPr>
            <w:tcW w:w="6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ind w:left="640"/>
              <w:spacing w:after="0" w:line="203" w:lineRule="exact"/>
              <w:rPr>
                <w:sz w:val="20"/>
                <w:szCs w:val="20"/>
                <w:color w:val="auto"/>
              </w:rPr>
            </w:pPr>
            <w:r>
              <w:rPr>
                <w:rFonts w:ascii="Arial" w:cs="Arial" w:eastAsia="Arial" w:hAnsi="Arial"/>
                <w:sz w:val="18"/>
                <w:szCs w:val="18"/>
                <w:color w:val="auto"/>
                <w:w w:val="86"/>
              </w:rPr>
              <w:t>163.88p</w:t>
            </w:r>
          </w:p>
        </w:tc>
        <w:tc>
          <w:tcPr>
            <w:tcW w:w="6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170.20p</w:t>
            </w:r>
          </w:p>
        </w:tc>
        <w:tc>
          <w:tcPr>
            <w:tcW w:w="6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161.00p</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May 10, 2022</w:t>
            </w:r>
          </w:p>
        </w:tc>
        <w:tc>
          <w:tcPr>
            <w:tcW w:w="1640" w:type="dxa"/>
            <w:vAlign w:val="bottom"/>
            <w:gridSpan w:val="2"/>
          </w:tcPr>
          <w:p>
            <w:pPr>
              <w:jc w:val="right"/>
              <w:ind w:right="600"/>
              <w:spacing w:after="0"/>
              <w:rPr>
                <w:sz w:val="20"/>
                <w:szCs w:val="20"/>
                <w:color w:val="auto"/>
              </w:rPr>
            </w:pPr>
            <w:r>
              <w:rPr>
                <w:rFonts w:ascii="Arial" w:cs="Arial" w:eastAsia="Arial" w:hAnsi="Arial"/>
                <w:sz w:val="18"/>
                <w:szCs w:val="18"/>
                <w:color w:val="auto"/>
              </w:rPr>
              <w:t>43,836</w:t>
            </w:r>
          </w:p>
        </w:tc>
        <w:tc>
          <w:tcPr>
            <w:tcW w:w="1840" w:type="dxa"/>
            <w:vAlign w:val="bottom"/>
            <w:gridSpan w:val="2"/>
          </w:tcPr>
          <w:p>
            <w:pPr>
              <w:ind w:left="640"/>
              <w:spacing w:after="0"/>
              <w:rPr>
                <w:sz w:val="20"/>
                <w:szCs w:val="20"/>
                <w:color w:val="auto"/>
              </w:rPr>
            </w:pPr>
            <w:r>
              <w:rPr>
                <w:rFonts w:ascii="Arial" w:cs="Arial" w:eastAsia="Arial" w:hAnsi="Arial"/>
                <w:sz w:val="18"/>
                <w:szCs w:val="18"/>
                <w:color w:val="auto"/>
              </w:rPr>
              <w:t>162.46p</w:t>
            </w:r>
          </w:p>
        </w:tc>
        <w:tc>
          <w:tcPr>
            <w:tcW w:w="1760" w:type="dxa"/>
            <w:vAlign w:val="bottom"/>
            <w:gridSpan w:val="2"/>
          </w:tcPr>
          <w:p>
            <w:pPr>
              <w:jc w:val="right"/>
              <w:ind w:right="620"/>
              <w:spacing w:after="0"/>
              <w:rPr>
                <w:sz w:val="20"/>
                <w:szCs w:val="20"/>
                <w:color w:val="auto"/>
              </w:rPr>
            </w:pPr>
            <w:r>
              <w:rPr>
                <w:rFonts w:ascii="Arial" w:cs="Arial" w:eastAsia="Arial" w:hAnsi="Arial"/>
                <w:sz w:val="18"/>
                <w:szCs w:val="18"/>
                <w:color w:val="auto"/>
              </w:rPr>
              <w:t>166.40p</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157.40p</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11, 2022</w:t>
            </w:r>
          </w:p>
        </w:tc>
        <w:tc>
          <w:tcPr>
            <w:tcW w:w="16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44,630</w:t>
            </w:r>
          </w:p>
        </w:tc>
        <w:tc>
          <w:tcPr>
            <w:tcW w:w="1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172.17p</w:t>
            </w:r>
          </w:p>
        </w:tc>
        <w:tc>
          <w:tcPr>
            <w:tcW w:w="17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175.80p</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167.00p</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May 12, 2022</w:t>
            </w:r>
          </w:p>
        </w:tc>
        <w:tc>
          <w:tcPr>
            <w:tcW w:w="1640" w:type="dxa"/>
            <w:vAlign w:val="bottom"/>
            <w:gridSpan w:val="2"/>
          </w:tcPr>
          <w:p>
            <w:pPr>
              <w:jc w:val="right"/>
              <w:ind w:right="600"/>
              <w:spacing w:after="0"/>
              <w:rPr>
                <w:sz w:val="20"/>
                <w:szCs w:val="20"/>
                <w:color w:val="auto"/>
              </w:rPr>
            </w:pPr>
            <w:r>
              <w:rPr>
                <w:rFonts w:ascii="Arial" w:cs="Arial" w:eastAsia="Arial" w:hAnsi="Arial"/>
                <w:sz w:val="18"/>
                <w:szCs w:val="18"/>
                <w:color w:val="auto"/>
              </w:rPr>
              <w:t>46,379</w:t>
            </w:r>
          </w:p>
        </w:tc>
        <w:tc>
          <w:tcPr>
            <w:tcW w:w="1840" w:type="dxa"/>
            <w:vAlign w:val="bottom"/>
            <w:gridSpan w:val="2"/>
          </w:tcPr>
          <w:p>
            <w:pPr>
              <w:ind w:left="640"/>
              <w:spacing w:after="0"/>
              <w:rPr>
                <w:sz w:val="20"/>
                <w:szCs w:val="20"/>
                <w:color w:val="auto"/>
              </w:rPr>
            </w:pPr>
            <w:r>
              <w:rPr>
                <w:rFonts w:ascii="Arial" w:cs="Arial" w:eastAsia="Arial" w:hAnsi="Arial"/>
                <w:sz w:val="18"/>
                <w:szCs w:val="18"/>
                <w:color w:val="auto"/>
              </w:rPr>
              <w:t>169.35p</w:t>
            </w:r>
          </w:p>
        </w:tc>
        <w:tc>
          <w:tcPr>
            <w:tcW w:w="1760" w:type="dxa"/>
            <w:vAlign w:val="bottom"/>
            <w:gridSpan w:val="2"/>
          </w:tcPr>
          <w:p>
            <w:pPr>
              <w:jc w:val="right"/>
              <w:ind w:right="620"/>
              <w:spacing w:after="0"/>
              <w:rPr>
                <w:sz w:val="20"/>
                <w:szCs w:val="20"/>
                <w:color w:val="auto"/>
              </w:rPr>
            </w:pPr>
            <w:r>
              <w:rPr>
                <w:rFonts w:ascii="Arial" w:cs="Arial" w:eastAsia="Arial" w:hAnsi="Arial"/>
                <w:sz w:val="18"/>
                <w:szCs w:val="18"/>
                <w:color w:val="auto"/>
              </w:rPr>
              <w:t>173.20p</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166.20p</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13, 2022</w:t>
            </w:r>
          </w:p>
        </w:tc>
        <w:tc>
          <w:tcPr>
            <w:tcW w:w="16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21,361</w:t>
            </w:r>
          </w:p>
        </w:tc>
        <w:tc>
          <w:tcPr>
            <w:tcW w:w="1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174.64p</w:t>
            </w:r>
          </w:p>
        </w:tc>
        <w:tc>
          <w:tcPr>
            <w:tcW w:w="17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174.80p</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172.80p</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May 16, 2022</w:t>
            </w:r>
          </w:p>
        </w:tc>
        <w:tc>
          <w:tcPr>
            <w:tcW w:w="1640" w:type="dxa"/>
            <w:vAlign w:val="bottom"/>
            <w:gridSpan w:val="2"/>
          </w:tcPr>
          <w:p>
            <w:pPr>
              <w:jc w:val="right"/>
              <w:ind w:right="600"/>
              <w:spacing w:after="0"/>
              <w:rPr>
                <w:sz w:val="20"/>
                <w:szCs w:val="20"/>
                <w:color w:val="auto"/>
              </w:rPr>
            </w:pPr>
            <w:r>
              <w:rPr>
                <w:rFonts w:ascii="Arial" w:cs="Arial" w:eastAsia="Arial" w:hAnsi="Arial"/>
                <w:sz w:val="18"/>
                <w:szCs w:val="18"/>
                <w:color w:val="auto"/>
              </w:rPr>
              <w:t>47,323</w:t>
            </w:r>
          </w:p>
        </w:tc>
        <w:tc>
          <w:tcPr>
            <w:tcW w:w="1840" w:type="dxa"/>
            <w:vAlign w:val="bottom"/>
            <w:gridSpan w:val="2"/>
          </w:tcPr>
          <w:p>
            <w:pPr>
              <w:ind w:left="640"/>
              <w:spacing w:after="0"/>
              <w:rPr>
                <w:sz w:val="20"/>
                <w:szCs w:val="20"/>
                <w:color w:val="auto"/>
              </w:rPr>
            </w:pPr>
            <w:r>
              <w:rPr>
                <w:rFonts w:ascii="Arial" w:cs="Arial" w:eastAsia="Arial" w:hAnsi="Arial"/>
                <w:sz w:val="18"/>
                <w:szCs w:val="18"/>
                <w:color w:val="auto"/>
              </w:rPr>
              <w:t>175.29p</w:t>
            </w:r>
          </w:p>
        </w:tc>
        <w:tc>
          <w:tcPr>
            <w:tcW w:w="1760" w:type="dxa"/>
            <w:vAlign w:val="bottom"/>
            <w:gridSpan w:val="2"/>
          </w:tcPr>
          <w:p>
            <w:pPr>
              <w:jc w:val="right"/>
              <w:ind w:right="620"/>
              <w:spacing w:after="0"/>
              <w:rPr>
                <w:sz w:val="20"/>
                <w:szCs w:val="20"/>
                <w:color w:val="auto"/>
              </w:rPr>
            </w:pPr>
            <w:r>
              <w:rPr>
                <w:rFonts w:ascii="Arial" w:cs="Arial" w:eastAsia="Arial" w:hAnsi="Arial"/>
                <w:sz w:val="18"/>
                <w:szCs w:val="18"/>
                <w:color w:val="auto"/>
              </w:rPr>
              <w:t>176.40p</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173.40p</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17, 2022</w:t>
            </w:r>
          </w:p>
        </w:tc>
        <w:tc>
          <w:tcPr>
            <w:tcW w:w="16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46,037</w:t>
            </w:r>
          </w:p>
        </w:tc>
        <w:tc>
          <w:tcPr>
            <w:tcW w:w="1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177.35p</w:t>
            </w:r>
          </w:p>
        </w:tc>
        <w:tc>
          <w:tcPr>
            <w:tcW w:w="17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179.20p</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174.20p</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May 18, 2022</w:t>
            </w:r>
          </w:p>
        </w:tc>
        <w:tc>
          <w:tcPr>
            <w:tcW w:w="1640" w:type="dxa"/>
            <w:vAlign w:val="bottom"/>
            <w:gridSpan w:val="2"/>
          </w:tcPr>
          <w:p>
            <w:pPr>
              <w:jc w:val="right"/>
              <w:ind w:right="600"/>
              <w:spacing w:after="0"/>
              <w:rPr>
                <w:sz w:val="20"/>
                <w:szCs w:val="20"/>
                <w:color w:val="auto"/>
              </w:rPr>
            </w:pPr>
            <w:r>
              <w:rPr>
                <w:rFonts w:ascii="Arial" w:cs="Arial" w:eastAsia="Arial" w:hAnsi="Arial"/>
                <w:sz w:val="18"/>
                <w:szCs w:val="18"/>
                <w:color w:val="auto"/>
              </w:rPr>
              <w:t>47,109</w:t>
            </w:r>
          </w:p>
        </w:tc>
        <w:tc>
          <w:tcPr>
            <w:tcW w:w="1840" w:type="dxa"/>
            <w:vAlign w:val="bottom"/>
            <w:gridSpan w:val="2"/>
          </w:tcPr>
          <w:p>
            <w:pPr>
              <w:ind w:left="640"/>
              <w:spacing w:after="0"/>
              <w:rPr>
                <w:sz w:val="20"/>
                <w:szCs w:val="20"/>
                <w:color w:val="auto"/>
              </w:rPr>
            </w:pPr>
            <w:r>
              <w:rPr>
                <w:rFonts w:ascii="Arial" w:cs="Arial" w:eastAsia="Arial" w:hAnsi="Arial"/>
                <w:sz w:val="18"/>
                <w:szCs w:val="18"/>
                <w:color w:val="auto"/>
              </w:rPr>
              <w:t>179.57p</w:t>
            </w:r>
          </w:p>
        </w:tc>
        <w:tc>
          <w:tcPr>
            <w:tcW w:w="1760" w:type="dxa"/>
            <w:vAlign w:val="bottom"/>
            <w:gridSpan w:val="2"/>
          </w:tcPr>
          <w:p>
            <w:pPr>
              <w:jc w:val="right"/>
              <w:ind w:right="620"/>
              <w:spacing w:after="0"/>
              <w:rPr>
                <w:sz w:val="20"/>
                <w:szCs w:val="20"/>
                <w:color w:val="auto"/>
              </w:rPr>
            </w:pPr>
            <w:r>
              <w:rPr>
                <w:rFonts w:ascii="Arial" w:cs="Arial" w:eastAsia="Arial" w:hAnsi="Arial"/>
                <w:sz w:val="18"/>
                <w:szCs w:val="18"/>
                <w:color w:val="auto"/>
              </w:rPr>
              <w:t>181.00p</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177.20p</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19, 2022</w:t>
            </w:r>
          </w:p>
        </w:tc>
        <w:tc>
          <w:tcPr>
            <w:tcW w:w="16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46,603</w:t>
            </w:r>
          </w:p>
        </w:tc>
        <w:tc>
          <w:tcPr>
            <w:tcW w:w="1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175.29p</w:t>
            </w:r>
          </w:p>
        </w:tc>
        <w:tc>
          <w:tcPr>
            <w:tcW w:w="17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180.00p</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171.00p</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May 20, 2022</w:t>
            </w:r>
          </w:p>
        </w:tc>
        <w:tc>
          <w:tcPr>
            <w:tcW w:w="1640" w:type="dxa"/>
            <w:vAlign w:val="bottom"/>
            <w:gridSpan w:val="2"/>
          </w:tcPr>
          <w:p>
            <w:pPr>
              <w:jc w:val="right"/>
              <w:ind w:right="600"/>
              <w:spacing w:after="0"/>
              <w:rPr>
                <w:sz w:val="20"/>
                <w:szCs w:val="20"/>
                <w:color w:val="auto"/>
              </w:rPr>
            </w:pPr>
            <w:r>
              <w:rPr>
                <w:rFonts w:ascii="Arial" w:cs="Arial" w:eastAsia="Arial" w:hAnsi="Arial"/>
                <w:sz w:val="18"/>
                <w:szCs w:val="18"/>
                <w:color w:val="auto"/>
              </w:rPr>
              <w:t>50,363</w:t>
            </w:r>
          </w:p>
        </w:tc>
        <w:tc>
          <w:tcPr>
            <w:tcW w:w="1840" w:type="dxa"/>
            <w:vAlign w:val="bottom"/>
            <w:gridSpan w:val="2"/>
          </w:tcPr>
          <w:p>
            <w:pPr>
              <w:ind w:left="660"/>
              <w:spacing w:after="0"/>
              <w:rPr>
                <w:sz w:val="20"/>
                <w:szCs w:val="20"/>
                <w:color w:val="auto"/>
              </w:rPr>
            </w:pPr>
            <w:r>
              <w:rPr>
                <w:rFonts w:ascii="Arial" w:cs="Arial" w:eastAsia="Arial" w:hAnsi="Arial"/>
                <w:sz w:val="18"/>
                <w:szCs w:val="18"/>
                <w:color w:val="auto"/>
              </w:rPr>
              <w:t>183.11p</w:t>
            </w:r>
          </w:p>
        </w:tc>
        <w:tc>
          <w:tcPr>
            <w:tcW w:w="1760" w:type="dxa"/>
            <w:vAlign w:val="bottom"/>
            <w:gridSpan w:val="2"/>
          </w:tcPr>
          <w:p>
            <w:pPr>
              <w:jc w:val="right"/>
              <w:ind w:right="620"/>
              <w:spacing w:after="0"/>
              <w:rPr>
                <w:sz w:val="20"/>
                <w:szCs w:val="20"/>
                <w:color w:val="auto"/>
              </w:rPr>
            </w:pPr>
            <w:r>
              <w:rPr>
                <w:rFonts w:ascii="Arial" w:cs="Arial" w:eastAsia="Arial" w:hAnsi="Arial"/>
                <w:sz w:val="18"/>
                <w:szCs w:val="18"/>
                <w:color w:val="auto"/>
              </w:rPr>
              <w:t>185.20p</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179.40p</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23, 2022</w:t>
            </w:r>
          </w:p>
        </w:tc>
        <w:tc>
          <w:tcPr>
            <w:tcW w:w="16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50,950</w:t>
            </w:r>
          </w:p>
        </w:tc>
        <w:tc>
          <w:tcPr>
            <w:tcW w:w="1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184.49p</w:t>
            </w:r>
          </w:p>
        </w:tc>
        <w:tc>
          <w:tcPr>
            <w:tcW w:w="17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185.80p</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181.40p</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May 24, 2022</w:t>
            </w:r>
          </w:p>
        </w:tc>
        <w:tc>
          <w:tcPr>
            <w:tcW w:w="1640" w:type="dxa"/>
            <w:vAlign w:val="bottom"/>
            <w:gridSpan w:val="2"/>
          </w:tcPr>
          <w:p>
            <w:pPr>
              <w:jc w:val="right"/>
              <w:ind w:right="600"/>
              <w:spacing w:after="0"/>
              <w:rPr>
                <w:sz w:val="20"/>
                <w:szCs w:val="20"/>
                <w:color w:val="auto"/>
              </w:rPr>
            </w:pPr>
            <w:r>
              <w:rPr>
                <w:rFonts w:ascii="Arial" w:cs="Arial" w:eastAsia="Arial" w:hAnsi="Arial"/>
                <w:sz w:val="18"/>
                <w:szCs w:val="18"/>
                <w:color w:val="auto"/>
              </w:rPr>
              <w:t>50,056</w:t>
            </w:r>
          </w:p>
        </w:tc>
        <w:tc>
          <w:tcPr>
            <w:tcW w:w="1840" w:type="dxa"/>
            <w:vAlign w:val="bottom"/>
            <w:gridSpan w:val="2"/>
          </w:tcPr>
          <w:p>
            <w:pPr>
              <w:ind w:left="640"/>
              <w:spacing w:after="0"/>
              <w:rPr>
                <w:sz w:val="20"/>
                <w:szCs w:val="20"/>
                <w:color w:val="auto"/>
              </w:rPr>
            </w:pPr>
            <w:r>
              <w:rPr>
                <w:rFonts w:ascii="Arial" w:cs="Arial" w:eastAsia="Arial" w:hAnsi="Arial"/>
                <w:sz w:val="18"/>
                <w:szCs w:val="18"/>
                <w:color w:val="auto"/>
              </w:rPr>
              <w:t>176.67p</w:t>
            </w:r>
          </w:p>
        </w:tc>
        <w:tc>
          <w:tcPr>
            <w:tcW w:w="1760" w:type="dxa"/>
            <w:vAlign w:val="bottom"/>
            <w:gridSpan w:val="2"/>
          </w:tcPr>
          <w:p>
            <w:pPr>
              <w:jc w:val="right"/>
              <w:ind w:right="620"/>
              <w:spacing w:after="0"/>
              <w:rPr>
                <w:sz w:val="20"/>
                <w:szCs w:val="20"/>
                <w:color w:val="auto"/>
              </w:rPr>
            </w:pPr>
            <w:r>
              <w:rPr>
                <w:rFonts w:ascii="Arial" w:cs="Arial" w:eastAsia="Arial" w:hAnsi="Arial"/>
                <w:sz w:val="18"/>
                <w:szCs w:val="18"/>
                <w:color w:val="auto"/>
              </w:rPr>
              <w:t>183.00p</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172.20p</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25, 2022</w:t>
            </w:r>
          </w:p>
        </w:tc>
        <w:tc>
          <w:tcPr>
            <w:tcW w:w="16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49,379</w:t>
            </w:r>
          </w:p>
        </w:tc>
        <w:tc>
          <w:tcPr>
            <w:tcW w:w="1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175.03p</w:t>
            </w:r>
          </w:p>
        </w:tc>
        <w:tc>
          <w:tcPr>
            <w:tcW w:w="17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177.00p</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170.00p</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May 26, 2022</w:t>
            </w:r>
          </w:p>
        </w:tc>
        <w:tc>
          <w:tcPr>
            <w:tcW w:w="1640" w:type="dxa"/>
            <w:vAlign w:val="bottom"/>
            <w:gridSpan w:val="2"/>
          </w:tcPr>
          <w:p>
            <w:pPr>
              <w:jc w:val="right"/>
              <w:ind w:right="600"/>
              <w:spacing w:after="0"/>
              <w:rPr>
                <w:sz w:val="20"/>
                <w:szCs w:val="20"/>
                <w:color w:val="auto"/>
              </w:rPr>
            </w:pPr>
            <w:r>
              <w:rPr>
                <w:rFonts w:ascii="Arial" w:cs="Arial" w:eastAsia="Arial" w:hAnsi="Arial"/>
                <w:sz w:val="18"/>
                <w:szCs w:val="18"/>
                <w:color w:val="auto"/>
              </w:rPr>
              <w:t>47,160</w:t>
            </w:r>
          </w:p>
        </w:tc>
        <w:tc>
          <w:tcPr>
            <w:tcW w:w="1840" w:type="dxa"/>
            <w:vAlign w:val="bottom"/>
            <w:gridSpan w:val="2"/>
          </w:tcPr>
          <w:p>
            <w:pPr>
              <w:ind w:left="640"/>
              <w:spacing w:after="0"/>
              <w:rPr>
                <w:sz w:val="20"/>
                <w:szCs w:val="20"/>
                <w:color w:val="auto"/>
              </w:rPr>
            </w:pPr>
            <w:r>
              <w:rPr>
                <w:rFonts w:ascii="Arial" w:cs="Arial" w:eastAsia="Arial" w:hAnsi="Arial"/>
                <w:sz w:val="18"/>
                <w:szCs w:val="18"/>
                <w:color w:val="auto"/>
              </w:rPr>
              <w:t>178.84p</w:t>
            </w:r>
          </w:p>
        </w:tc>
        <w:tc>
          <w:tcPr>
            <w:tcW w:w="1760" w:type="dxa"/>
            <w:vAlign w:val="bottom"/>
            <w:gridSpan w:val="2"/>
          </w:tcPr>
          <w:p>
            <w:pPr>
              <w:jc w:val="right"/>
              <w:ind w:right="620"/>
              <w:spacing w:after="0"/>
              <w:rPr>
                <w:sz w:val="20"/>
                <w:szCs w:val="20"/>
                <w:color w:val="auto"/>
              </w:rPr>
            </w:pPr>
            <w:r>
              <w:rPr>
                <w:rFonts w:ascii="Arial" w:cs="Arial" w:eastAsia="Arial" w:hAnsi="Arial"/>
                <w:sz w:val="18"/>
                <w:szCs w:val="18"/>
                <w:color w:val="auto"/>
              </w:rPr>
              <w:t>180.20p</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173.80p</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27, 2022</w:t>
            </w:r>
          </w:p>
        </w:tc>
        <w:tc>
          <w:tcPr>
            <w:tcW w:w="16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47,919</w:t>
            </w:r>
          </w:p>
        </w:tc>
        <w:tc>
          <w:tcPr>
            <w:tcW w:w="1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180.78p</w:t>
            </w:r>
          </w:p>
        </w:tc>
        <w:tc>
          <w:tcPr>
            <w:tcW w:w="17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185.00p</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177.80p</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May 30, 2022</w:t>
            </w:r>
          </w:p>
        </w:tc>
        <w:tc>
          <w:tcPr>
            <w:tcW w:w="1640" w:type="dxa"/>
            <w:vAlign w:val="bottom"/>
            <w:gridSpan w:val="2"/>
          </w:tcPr>
          <w:p>
            <w:pPr>
              <w:jc w:val="right"/>
              <w:ind w:right="600"/>
              <w:spacing w:after="0"/>
              <w:rPr>
                <w:sz w:val="20"/>
                <w:szCs w:val="20"/>
                <w:color w:val="auto"/>
              </w:rPr>
            </w:pPr>
            <w:r>
              <w:rPr>
                <w:rFonts w:ascii="Arial" w:cs="Arial" w:eastAsia="Arial" w:hAnsi="Arial"/>
                <w:sz w:val="18"/>
                <w:szCs w:val="18"/>
                <w:color w:val="auto"/>
              </w:rPr>
              <w:t>25,217</w:t>
            </w:r>
          </w:p>
        </w:tc>
        <w:tc>
          <w:tcPr>
            <w:tcW w:w="1840" w:type="dxa"/>
            <w:vAlign w:val="bottom"/>
            <w:gridSpan w:val="2"/>
          </w:tcPr>
          <w:p>
            <w:pPr>
              <w:ind w:left="640"/>
              <w:spacing w:after="0"/>
              <w:rPr>
                <w:sz w:val="20"/>
                <w:szCs w:val="20"/>
                <w:color w:val="auto"/>
              </w:rPr>
            </w:pPr>
            <w:r>
              <w:rPr>
                <w:rFonts w:ascii="Arial" w:cs="Arial" w:eastAsia="Arial" w:hAnsi="Arial"/>
                <w:sz w:val="18"/>
                <w:szCs w:val="18"/>
                <w:color w:val="auto"/>
              </w:rPr>
              <w:t>185.17p</w:t>
            </w:r>
          </w:p>
        </w:tc>
        <w:tc>
          <w:tcPr>
            <w:tcW w:w="1760" w:type="dxa"/>
            <w:vAlign w:val="bottom"/>
            <w:gridSpan w:val="2"/>
          </w:tcPr>
          <w:p>
            <w:pPr>
              <w:jc w:val="right"/>
              <w:ind w:right="620"/>
              <w:spacing w:after="0"/>
              <w:rPr>
                <w:sz w:val="20"/>
                <w:szCs w:val="20"/>
                <w:color w:val="auto"/>
              </w:rPr>
            </w:pPr>
            <w:r>
              <w:rPr>
                <w:rFonts w:ascii="Arial" w:cs="Arial" w:eastAsia="Arial" w:hAnsi="Arial"/>
                <w:sz w:val="18"/>
                <w:szCs w:val="18"/>
                <w:color w:val="auto"/>
              </w:rPr>
              <w:t>186.00p</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183.80p</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31, 2022</w:t>
            </w:r>
          </w:p>
        </w:tc>
        <w:tc>
          <w:tcPr>
            <w:tcW w:w="16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49,249</w:t>
            </w:r>
          </w:p>
        </w:tc>
        <w:tc>
          <w:tcPr>
            <w:tcW w:w="1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184.70p</w:t>
            </w:r>
          </w:p>
        </w:tc>
        <w:tc>
          <w:tcPr>
            <w:tcW w:w="17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186.60p</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179.00p</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the month ended May 31, 2022, the Company repurchased an aggregate of 743,116 Ordinary Shares. As of May 31, 2022, the Company’s issued share capital was 288,611,120 shares, 743,116 of which were held in treasury, resulting in total voting rights in the Company of 287,868,004 shares. To view the details of the individual transactions, please paste the following URL(s) into the address bar of your browser with respect to each individual date of repurchase under the Program: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May 9, 2022: https://data.fca.org.uk/artefacts/NSM/RNS/4363881.html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10, 2022: https://data.fca.org.uk/artefacts/NSM/RNS/4365501.html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11, 2022: https://data.fca.org.uk/artefacts/NSM/RNS/4367138.html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12, 2022: https://data.fca.org.uk/artefacts/NSM/RNS/4368852.html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13, 2022: https://data.fca.org.uk/artefacts/NSM/RNS/4370531.html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16, 2022: https://data.fca.org.uk/artefacts/NSM/RNS/4372195.html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17, 2022: https://data.fca.org.uk/artefacts/NSM/RNS/4373834.html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18, 2022: https://data.fca.org.uk/artefacts/NSM/RNS/4375570.html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19, 2022: https://data.fca.org.uk/artefacts/NSM/RNS/4377110.html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20, 2022: https://data.fca.org.uk/artefacts/NSM/RNS/4378718.html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23, 2022: https://data.fca.org.uk/artefacts/NSM/RNS/4380434.html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24, 2022: https://data.fca.org.uk/artefacts/NSM/RNS/4382153.html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25, 2022: https://data.fca.org.uk/artefacts/NSM/RNS/4383727.html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26, 2022: https://data.fca.org.uk/artefacts/NSM/RNS/4385273.html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27, 2022: https://data.fca.org.uk/artefacts/NSM/RNS/4386847.html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30, 2022: https://data.fca.org.uk/artefacts/NSM/RNS/4388273.html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31, 2022: https://data.fca.org.uk/artefacts/NSM/RNS/4390083.html</w:t>
      </w:r>
    </w:p>
    <w:p>
      <w:pPr>
        <w:sectPr>
          <w:pgSz w:w="11900" w:h="16838" w:orient="portrait"/>
          <w:cols w:equalWidth="0" w:num="1">
            <w:col w:w="11000"/>
          </w:cols>
          <w:pgMar w:left="440" w:top="270" w:right="4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40" w:type="dxa"/>
            <w:vAlign w:val="bottom"/>
          </w:tcPr>
          <w:p>
            <w:pPr>
              <w:spacing w:after="0"/>
              <w:rPr>
                <w:sz w:val="20"/>
                <w:szCs w:val="20"/>
                <w:color w:val="auto"/>
              </w:rPr>
            </w:pPr>
          </w:p>
        </w:tc>
        <w:tc>
          <w:tcPr>
            <w:tcW w:w="7880" w:type="dxa"/>
            <w:vAlign w:val="bottom"/>
            <w:gridSpan w:val="3"/>
          </w:tcPr>
          <w:p>
            <w:pPr>
              <w:ind w:left="1820"/>
              <w:spacing w:after="0"/>
              <w:rPr>
                <w:sz w:val="20"/>
                <w:szCs w:val="20"/>
                <w:color w:val="auto"/>
              </w:rPr>
            </w:pPr>
            <w:r>
              <w:rPr>
                <w:rFonts w:ascii="Arial" w:cs="Arial" w:eastAsia="Arial" w:hAnsi="Arial"/>
                <w:sz w:val="18"/>
                <w:szCs w:val="18"/>
                <w:color w:val="auto"/>
              </w:rPr>
              <w:t>PURETECH HEALTH PLC</w:t>
            </w:r>
          </w:p>
        </w:tc>
      </w:tr>
      <w:tr>
        <w:trPr>
          <w:trHeight w:val="432"/>
        </w:trPr>
        <w:tc>
          <w:tcPr>
            <w:tcW w:w="3140" w:type="dxa"/>
            <w:vAlign w:val="bottom"/>
          </w:tcPr>
          <w:p>
            <w:pPr>
              <w:spacing w:after="0"/>
              <w:rPr>
                <w:sz w:val="20"/>
                <w:szCs w:val="20"/>
                <w:color w:val="auto"/>
              </w:rPr>
            </w:pPr>
            <w:r>
              <w:rPr>
                <w:rFonts w:ascii="Arial" w:cs="Arial" w:eastAsia="Arial" w:hAnsi="Arial"/>
                <w:sz w:val="18"/>
                <w:szCs w:val="18"/>
                <w:color w:val="auto"/>
              </w:rPr>
              <w:t>Date: June 3, 2022</w:t>
            </w:r>
          </w:p>
        </w:tc>
        <w:tc>
          <w:tcPr>
            <w:tcW w:w="7880" w:type="dxa"/>
            <w:vAlign w:val="bottom"/>
            <w:gridSpan w:val="3"/>
          </w:tcPr>
          <w:p>
            <w:pPr>
              <w:ind w:left="1820"/>
              <w:spacing w:after="0"/>
              <w:rPr>
                <w:sz w:val="20"/>
                <w:szCs w:val="20"/>
                <w:color w:val="auto"/>
              </w:rPr>
            </w:pPr>
            <w:r>
              <w:rPr>
                <w:rFonts w:ascii="Arial" w:cs="Arial" w:eastAsia="Arial" w:hAnsi="Arial"/>
                <w:sz w:val="18"/>
                <w:szCs w:val="18"/>
                <w:color w:val="auto"/>
              </w:rPr>
              <w:t>By:    /s/ Daphne Zohar</w:t>
            </w:r>
          </w:p>
        </w:tc>
      </w:tr>
      <w:tr>
        <w:trPr>
          <w:trHeight w:val="209"/>
        </w:trPr>
        <w:tc>
          <w:tcPr>
            <w:tcW w:w="31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9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Daphne Zohar</w:t>
            </w:r>
          </w:p>
        </w:tc>
      </w:tr>
      <w:tr>
        <w:trPr>
          <w:trHeight w:val="230"/>
        </w:trPr>
        <w:tc>
          <w:tcPr>
            <w:tcW w:w="31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ind w:left="80"/>
              <w:spacing w:after="0"/>
              <w:rPr>
                <w:sz w:val="20"/>
                <w:szCs w:val="20"/>
                <w:color w:val="auto"/>
              </w:rPr>
            </w:pPr>
            <w:r>
              <w:rPr>
                <w:rFonts w:ascii="Arial" w:cs="Arial" w:eastAsia="Arial" w:hAnsi="Arial"/>
                <w:sz w:val="18"/>
                <w:szCs w:val="18"/>
                <w:color w:val="auto"/>
              </w:rPr>
              <w:t>Chief Executive Officer</w:t>
            </w: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2022-06-03T15:18:06Z</dcterms:created>
  <dcterms:modified xsi:type="dcterms:W3CDTF">2022-06-03T15:18:06Z</dcterms:modified>
</cp:coreProperties>
</file>