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Akili,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00974B107</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Bharatt Chowrira</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6 Tide Street, Suite 400</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Boston, MA 02210</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(617) 482-2333</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July 2, 2024</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3" w:lineRule="exact"/>
        <w:rPr>
          <w:sz w:val="24"/>
          <w:szCs w:val="24"/>
          <w:color w:val="auto"/>
        </w:rPr>
      </w:pPr>
    </w:p>
    <w:p>
      <w:pPr>
        <w:ind w:left="4" w:right="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Rule 13d-7(b)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104775</wp:posOffset>
            </wp:positionV>
            <wp:extent cx="771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1" w:lineRule="exact"/>
        <w:rPr>
          <w:sz w:val="24"/>
          <w:szCs w:val="24"/>
          <w:color w:val="auto"/>
        </w:rPr>
      </w:pPr>
    </w:p>
    <w:p>
      <w:pPr>
        <w:ind w:left="424" w:right="2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340" w:firstLine="44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174625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4"/>
          </w:cols>
          <w:pgMar w:left="436" w:top="376" w:right="499" w:bottom="1440" w:gutter="0" w:footer="0" w:header="0"/>
        </w:sectPr>
      </w:pPr>
    </w:p>
    <w:bookmarkStart w:id="1" w:name="page2"/>
    <w:bookmarkEnd w:id="1"/>
    <w:p>
      <w:pPr>
        <w:ind w:left="87" w:hanging="87"/>
        <w:spacing w:after="0"/>
        <w:tabs>
          <w:tab w:leader="none" w:pos="87"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    Names of Reporting Persons</w:t>
      </w:r>
    </w:p>
    <w:p>
      <w:pPr>
        <w:spacing w:after="0" w:line="263" w:lineRule="exact"/>
        <w:rPr>
          <w:rFonts w:ascii="Times New Roman" w:cs="Times New Roman" w:eastAsia="Times New Roman" w:hAnsi="Times New Roman"/>
          <w:sz w:val="17"/>
          <w:szCs w:val="17"/>
          <w:color w:val="auto"/>
        </w:rPr>
      </w:pPr>
    </w:p>
    <w:p>
      <w:pPr>
        <w:ind w:left="467" w:hanging="98"/>
        <w:spacing w:after="0"/>
        <w:tabs>
          <w:tab w:leader="none" w:pos="467"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PureTech Health plc</w:t>
      </w:r>
    </w:p>
    <w:p>
      <w:pPr>
        <w:spacing w:after="0" w:line="3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-566420</wp:posOffset>
            </wp:positionV>
            <wp:extent cx="6926580" cy="6111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367"/>
        <w:spacing w:after="0" w:line="207" w:lineRule="exact"/>
        <w:tabs>
          <w:tab w:leader="none" w:pos="1066" w:val="left"/>
          <w:tab w:leader="none" w:pos="1246"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87" w:hanging="87"/>
        <w:spacing w:after="0"/>
        <w:tabs>
          <w:tab w:leader="none" w:pos="87"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87" w:hanging="87"/>
        <w:spacing w:after="0"/>
        <w:tabs>
          <w:tab w:leader="none" w:pos="87"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467" w:hanging="98"/>
        <w:spacing w:after="0"/>
        <w:tabs>
          <w:tab w:leader="none" w:pos="46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OO/WC</w:t>
      </w:r>
    </w:p>
    <w:p>
      <w:pPr>
        <w:spacing w:after="0" w:line="3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467" w:hanging="98"/>
        <w:spacing w:after="0" w:line="207" w:lineRule="exact"/>
        <w:tabs>
          <w:tab w:leader="none" w:pos="467"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467" w:hanging="98"/>
        <w:spacing w:after="0"/>
        <w:tabs>
          <w:tab w:leader="none" w:pos="46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England and Wales</w:t>
      </w:r>
    </w:p>
    <w:p>
      <w:pPr>
        <w:spacing w:after="0" w:line="36" w:lineRule="exact"/>
        <w:rPr>
          <w:rFonts w:ascii="Times New Roman" w:cs="Times New Roman" w:eastAsia="Times New Roman" w:hAnsi="Times New Roman"/>
          <w:sz w:val="18"/>
          <w:szCs w:val="18"/>
          <w:color w:val="auto"/>
        </w:rPr>
      </w:pPr>
    </w:p>
    <w:p>
      <w:pPr>
        <w:ind w:left="1487" w:hanging="92"/>
        <w:spacing w:after="0"/>
        <w:tabs>
          <w:tab w:leader="none" w:pos="1487"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12" w:lineRule="exact"/>
        <w:rPr>
          <w:sz w:val="20"/>
          <w:szCs w:val="20"/>
          <w:color w:val="auto"/>
        </w:rPr>
      </w:pPr>
    </w:p>
    <w:tbl>
      <w:tblPr>
        <w:tblLayout w:type="fixed"/>
        <w:tblInd w:w="7" w:type="dxa"/>
        <w:tblCellMar>
          <w:top w:w="0" w:type="dxa"/>
          <w:left w:w="0" w:type="dxa"/>
          <w:bottom w:w="0" w:type="dxa"/>
          <w:right w:w="0" w:type="dxa"/>
        </w:tblCellMar>
      </w:tblP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40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2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20"/>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28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280" w:type="dxa"/>
            <w:vAlign w:val="bottom"/>
          </w:tcPr>
          <w:p>
            <w:pPr>
              <w:spacing w:after="0"/>
              <w:rPr>
                <w:sz w:val="19"/>
                <w:szCs w:val="19"/>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07"/>
        <w:spacing w:after="0"/>
        <w:rPr>
          <w:sz w:val="20"/>
          <w:szCs w:val="20"/>
          <w:color w:val="auto"/>
        </w:rPr>
      </w:pPr>
      <w:r>
        <w:rPr>
          <w:rFonts w:ascii="Times New Roman" w:cs="Times New Roman" w:eastAsia="Times New Roman" w:hAnsi="Times New Roman"/>
          <w:sz w:val="18"/>
          <w:szCs w:val="18"/>
          <w:color w:val="auto"/>
        </w:rPr>
        <w:t>  0</w:t>
      </w:r>
    </w:p>
    <w:p>
      <w:pPr>
        <w:spacing w:after="0" w:line="36" w:lineRule="exact"/>
        <w:rPr>
          <w:sz w:val="20"/>
          <w:szCs w:val="20"/>
          <w:color w:val="auto"/>
        </w:rPr>
      </w:pPr>
    </w:p>
    <w:p>
      <w:pPr>
        <w:ind w:left="367" w:hanging="367"/>
        <w:spacing w:after="0"/>
        <w:tabs>
          <w:tab w:leader="none" w:pos="36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467" w:hanging="98"/>
        <w:spacing w:after="0"/>
        <w:tabs>
          <w:tab w:leader="none" w:pos="46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rFonts w:ascii="Times New Roman" w:cs="Times New Roman" w:eastAsia="Times New Roman" w:hAnsi="Times New Roman"/>
          <w:sz w:val="18"/>
          <w:szCs w:val="18"/>
          <w:color w:val="auto"/>
        </w:rPr>
      </w:pPr>
    </w:p>
    <w:p>
      <w:pPr>
        <w:ind w:left="367" w:hanging="367"/>
        <w:spacing w:after="0"/>
        <w:tabs>
          <w:tab w:leader="none" w:pos="36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(11) Excludes Certain Shares</w:t>
      </w:r>
    </w:p>
    <w:p>
      <w:pPr>
        <w:spacing w:after="0" w:line="211" w:lineRule="exact"/>
        <w:rPr>
          <w:rFonts w:ascii="Times New Roman" w:cs="Times New Roman" w:eastAsia="Times New Roman" w:hAnsi="Times New Roman"/>
          <w:sz w:val="18"/>
          <w:szCs w:val="18"/>
          <w:color w:val="auto"/>
        </w:rPr>
      </w:pPr>
    </w:p>
    <w:p>
      <w:pPr>
        <w:ind w:left="467" w:hanging="98"/>
        <w:spacing w:after="0" w:line="207" w:lineRule="exact"/>
        <w:tabs>
          <w:tab w:leader="none" w:pos="467" w:val="left"/>
        </w:tabs>
        <w:numPr>
          <w:ilvl w:val="1"/>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367" w:hanging="367"/>
        <w:spacing w:after="0"/>
        <w:tabs>
          <w:tab w:leader="none" w:pos="36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32" w:lineRule="exact"/>
        <w:rPr>
          <w:rFonts w:ascii="Times New Roman" w:cs="Times New Roman" w:eastAsia="Times New Roman" w:hAnsi="Times New Roman"/>
          <w:sz w:val="18"/>
          <w:szCs w:val="18"/>
          <w:color w:val="auto"/>
        </w:rPr>
      </w:pPr>
    </w:p>
    <w:p>
      <w:pPr>
        <w:ind w:left="467" w:hanging="98"/>
        <w:spacing w:after="0"/>
        <w:tabs>
          <w:tab w:leader="none" w:pos="46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rFonts w:ascii="Times New Roman" w:cs="Times New Roman" w:eastAsia="Times New Roman" w:hAnsi="Times New Roman"/>
          <w:sz w:val="18"/>
          <w:szCs w:val="18"/>
          <w:color w:val="auto"/>
        </w:rPr>
      </w:pPr>
    </w:p>
    <w:p>
      <w:pPr>
        <w:ind w:left="367" w:hanging="367"/>
        <w:spacing w:after="0"/>
        <w:tabs>
          <w:tab w:leader="none" w:pos="36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w:t>
      </w:r>
    </w:p>
    <w:p>
      <w:pPr>
        <w:spacing w:after="0" w:line="252" w:lineRule="exact"/>
        <w:rPr>
          <w:rFonts w:ascii="Times New Roman" w:cs="Times New Roman" w:eastAsia="Times New Roman" w:hAnsi="Times New Roman"/>
          <w:sz w:val="18"/>
          <w:szCs w:val="18"/>
          <w:color w:val="auto"/>
        </w:rPr>
      </w:pPr>
    </w:p>
    <w:p>
      <w:pPr>
        <w:ind w:left="467" w:hanging="98"/>
        <w:spacing w:after="0"/>
        <w:tabs>
          <w:tab w:leader="none" w:pos="46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200" w:lineRule="exact"/>
        <w:rPr>
          <w:sz w:val="20"/>
          <w:szCs w:val="20"/>
          <w:color w:val="auto"/>
        </w:rPr>
      </w:pPr>
    </w:p>
    <w:p>
      <w:pPr>
        <w:spacing w:after="0" w:line="228" w:lineRule="exact"/>
        <w:rPr>
          <w:sz w:val="20"/>
          <w:szCs w:val="20"/>
          <w:color w:val="auto"/>
        </w:rPr>
      </w:pPr>
    </w:p>
    <w:p>
      <w:pPr>
        <w:jc w:val="center"/>
        <w:ind w:right="3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747"/>
          </w:cols>
          <w:pgMar w:left="593" w:top="283" w:right="559" w:bottom="1440" w:gutter="0" w:footer="0" w:header="0"/>
        </w:sectPr>
      </w:pPr>
    </w:p>
    <w:bookmarkStart w:id="2" w:name="page3"/>
    <w:bookmarkEnd w:id="2"/>
    <w:p>
      <w:pPr>
        <w:ind w:left="87" w:hanging="87"/>
        <w:spacing w:after="0"/>
        <w:tabs>
          <w:tab w:leader="none" w:pos="87"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    Names of Reporting Persons</w:t>
      </w:r>
    </w:p>
    <w:p>
      <w:pPr>
        <w:spacing w:after="0" w:line="263" w:lineRule="exact"/>
        <w:rPr>
          <w:rFonts w:ascii="Times New Roman" w:cs="Times New Roman" w:eastAsia="Times New Roman" w:hAnsi="Times New Roman"/>
          <w:sz w:val="17"/>
          <w:szCs w:val="17"/>
          <w:color w:val="auto"/>
        </w:rPr>
      </w:pPr>
    </w:p>
    <w:p>
      <w:pPr>
        <w:ind w:left="467" w:hanging="98"/>
        <w:spacing w:after="0"/>
        <w:tabs>
          <w:tab w:leader="none" w:pos="46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PureTech Health LLC</w:t>
      </w:r>
    </w:p>
    <w:p>
      <w:pPr>
        <w:spacing w:after="0" w:line="3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-566420</wp:posOffset>
            </wp:positionV>
            <wp:extent cx="6926580" cy="6111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367"/>
        <w:spacing w:after="0" w:line="207" w:lineRule="exact"/>
        <w:tabs>
          <w:tab w:leader="none" w:pos="1066" w:val="left"/>
          <w:tab w:leader="none" w:pos="1246"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87" w:hanging="87"/>
        <w:spacing w:after="0"/>
        <w:tabs>
          <w:tab w:leader="none" w:pos="8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87" w:hanging="87"/>
        <w:spacing w:after="0"/>
        <w:tabs>
          <w:tab w:leader="none" w:pos="8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467" w:hanging="98"/>
        <w:spacing w:after="0"/>
        <w:tabs>
          <w:tab w:leader="none" w:pos="46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OO/WC</w:t>
      </w:r>
    </w:p>
    <w:p>
      <w:pPr>
        <w:spacing w:after="0" w:line="3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467" w:hanging="98"/>
        <w:spacing w:after="0" w:line="207" w:lineRule="exact"/>
        <w:tabs>
          <w:tab w:leader="none" w:pos="467" w:val="left"/>
        </w:tabs>
        <w:numPr>
          <w:ilvl w:val="1"/>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467" w:hanging="98"/>
        <w:spacing w:after="0"/>
        <w:tabs>
          <w:tab w:leader="none" w:pos="46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487" w:hanging="92"/>
        <w:spacing w:after="0"/>
        <w:tabs>
          <w:tab w:leader="none" w:pos="1487"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12" w:lineRule="exact"/>
        <w:rPr>
          <w:sz w:val="20"/>
          <w:szCs w:val="20"/>
          <w:color w:val="auto"/>
        </w:rPr>
      </w:pPr>
    </w:p>
    <w:tbl>
      <w:tblPr>
        <w:tblLayout w:type="fixed"/>
        <w:tblInd w:w="7" w:type="dxa"/>
        <w:tblCellMar>
          <w:top w:w="0" w:type="dxa"/>
          <w:left w:w="0" w:type="dxa"/>
          <w:bottom w:w="0" w:type="dxa"/>
          <w:right w:w="0" w:type="dxa"/>
        </w:tblCellMar>
      </w:tblP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40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2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20"/>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28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280" w:type="dxa"/>
            <w:vAlign w:val="bottom"/>
          </w:tcPr>
          <w:p>
            <w:pPr>
              <w:spacing w:after="0"/>
              <w:rPr>
                <w:sz w:val="19"/>
                <w:szCs w:val="19"/>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07"/>
        <w:spacing w:after="0"/>
        <w:rPr>
          <w:sz w:val="20"/>
          <w:szCs w:val="20"/>
          <w:color w:val="auto"/>
        </w:rPr>
      </w:pPr>
      <w:r>
        <w:rPr>
          <w:rFonts w:ascii="Times New Roman" w:cs="Times New Roman" w:eastAsia="Times New Roman" w:hAnsi="Times New Roman"/>
          <w:sz w:val="18"/>
          <w:szCs w:val="18"/>
          <w:color w:val="auto"/>
        </w:rPr>
        <w:t>  0</w:t>
      </w:r>
    </w:p>
    <w:p>
      <w:pPr>
        <w:spacing w:after="0" w:line="36" w:lineRule="exact"/>
        <w:rPr>
          <w:sz w:val="20"/>
          <w:szCs w:val="20"/>
          <w:color w:val="auto"/>
        </w:rPr>
      </w:pPr>
    </w:p>
    <w:p>
      <w:pPr>
        <w:ind w:left="367" w:hanging="367"/>
        <w:spacing w:after="0"/>
        <w:tabs>
          <w:tab w:leader="none" w:pos="36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467" w:hanging="98"/>
        <w:spacing w:after="0"/>
        <w:tabs>
          <w:tab w:leader="none" w:pos="46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rFonts w:ascii="Times New Roman" w:cs="Times New Roman" w:eastAsia="Times New Roman" w:hAnsi="Times New Roman"/>
          <w:sz w:val="18"/>
          <w:szCs w:val="18"/>
          <w:color w:val="auto"/>
        </w:rPr>
      </w:pPr>
    </w:p>
    <w:p>
      <w:pPr>
        <w:ind w:left="367" w:hanging="367"/>
        <w:spacing w:after="0"/>
        <w:tabs>
          <w:tab w:leader="none" w:pos="36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(11) Excludes Certain Shares</w:t>
      </w:r>
    </w:p>
    <w:p>
      <w:pPr>
        <w:spacing w:after="0" w:line="211" w:lineRule="exact"/>
        <w:rPr>
          <w:rFonts w:ascii="Times New Roman" w:cs="Times New Roman" w:eastAsia="Times New Roman" w:hAnsi="Times New Roman"/>
          <w:sz w:val="18"/>
          <w:szCs w:val="18"/>
          <w:color w:val="auto"/>
        </w:rPr>
      </w:pPr>
    </w:p>
    <w:p>
      <w:pPr>
        <w:ind w:left="467" w:hanging="98"/>
        <w:spacing w:after="0" w:line="207" w:lineRule="exact"/>
        <w:tabs>
          <w:tab w:leader="none" w:pos="467" w:val="left"/>
        </w:tabs>
        <w:numPr>
          <w:ilvl w:val="1"/>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367" w:hanging="367"/>
        <w:spacing w:after="0"/>
        <w:tabs>
          <w:tab w:leader="none" w:pos="36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32" w:lineRule="exact"/>
        <w:rPr>
          <w:rFonts w:ascii="Times New Roman" w:cs="Times New Roman" w:eastAsia="Times New Roman" w:hAnsi="Times New Roman"/>
          <w:sz w:val="18"/>
          <w:szCs w:val="18"/>
          <w:color w:val="auto"/>
        </w:rPr>
      </w:pPr>
    </w:p>
    <w:p>
      <w:pPr>
        <w:ind w:left="467" w:hanging="98"/>
        <w:spacing w:after="0"/>
        <w:tabs>
          <w:tab w:leader="none" w:pos="46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rFonts w:ascii="Times New Roman" w:cs="Times New Roman" w:eastAsia="Times New Roman" w:hAnsi="Times New Roman"/>
          <w:sz w:val="18"/>
          <w:szCs w:val="18"/>
          <w:color w:val="auto"/>
        </w:rPr>
      </w:pPr>
    </w:p>
    <w:p>
      <w:pPr>
        <w:ind w:left="367" w:hanging="367"/>
        <w:spacing w:after="0"/>
        <w:tabs>
          <w:tab w:leader="none" w:pos="36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w:t>
      </w:r>
    </w:p>
    <w:p>
      <w:pPr>
        <w:spacing w:after="0" w:line="252" w:lineRule="exact"/>
        <w:rPr>
          <w:rFonts w:ascii="Times New Roman" w:cs="Times New Roman" w:eastAsia="Times New Roman" w:hAnsi="Times New Roman"/>
          <w:sz w:val="18"/>
          <w:szCs w:val="18"/>
          <w:color w:val="auto"/>
        </w:rPr>
      </w:pPr>
    </w:p>
    <w:p>
      <w:pPr>
        <w:ind w:left="467" w:hanging="98"/>
        <w:spacing w:after="0"/>
        <w:tabs>
          <w:tab w:leader="none" w:pos="46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 (Limited Liability Company)</w:t>
      </w:r>
    </w:p>
    <w:p>
      <w:pPr>
        <w:spacing w:after="0" w:line="200" w:lineRule="exact"/>
        <w:rPr>
          <w:sz w:val="20"/>
          <w:szCs w:val="20"/>
          <w:color w:val="auto"/>
        </w:rPr>
      </w:pPr>
    </w:p>
    <w:p>
      <w:pPr>
        <w:spacing w:after="0" w:line="228" w:lineRule="exact"/>
        <w:rPr>
          <w:sz w:val="20"/>
          <w:szCs w:val="20"/>
          <w:color w:val="auto"/>
        </w:rPr>
      </w:pPr>
    </w:p>
    <w:p>
      <w:pPr>
        <w:jc w:val="center"/>
        <w:ind w:right="3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47"/>
          </w:cols>
          <w:pgMar w:left="593" w:top="283" w:right="559" w:bottom="1440" w:gutter="0" w:footer="0" w:header="0"/>
        </w:sectPr>
      </w:pPr>
    </w:p>
    <w:bookmarkStart w:id="3" w:name="page4"/>
    <w:bookmarkEnd w:id="3"/>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Amendment No. 2 amends and supplements the Schedule 13D filed with the Securities and Exchange Commission on August 30, 2022 (as amended, the “Schedule 13D”), relating to common stock, par value $0.0001 per share (the “Common Stock”), of Akili, Inc., a Delaware corporation (the “Issuer”). Capitalized terms used herein and not defined have the meanings given to them in the Schedule 13D.</w:t>
      </w:r>
    </w:p>
    <w:p>
      <w:pPr>
        <w:spacing w:after="0" w:line="32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Purpose of Transaction.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of the Schedule 13D is hereby supplemented as follows: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Merger Agreement</w:t>
      </w:r>
    </w:p>
    <w:p>
      <w:pPr>
        <w:spacing w:after="0" w:line="11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On May 29, 2024, the Issuer entered into an Agreement and Plan of Merger (the “Merger Agreement”) with Virtual Therapeutics Corporation, a Delaware corporation (“Parent”), and Alpha Merger Sub, Inc., a Delaware corporation and a wholly owned subsidiary of Parent (“Purchaser”). In connection with the Issuer’s execution of the Merger Agreement, on May 29, 2024, PureTech Health LLC (“PureTech Health”) and certain other beneficial owners of Common Stock entered into Tender and Support Agreements (the “Tender and Support Agreements”) with Parent and Purchaser. The Tender and Support Agreements provide, among other things, that beneficial owners that are party to the Tender and Support Agreements will tender all of the shares of Common Stock of the Issuer held by them to Purchaser in the Offer, upon the terms and subject to the conditions of the Tender and Support Agreement, and (if applicable) vote all shares of Common Stock in favor of the Merger. By entering into the Tender and Support Agreement, PureTech Health and the other beneficial owners party thereto also agreed to other customary terms and conditions, including certain transfer and voting restrictions, in respect of shares of Common Stock that they beneficially own.</w:t>
      </w:r>
    </w:p>
    <w:p>
      <w:pPr>
        <w:spacing w:after="0" w:line="188"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On July 2, 2024, the tender offer and merger described above closed. The Reporting Persons sold an aggregate of 12,527,477 shares of Issuer Common Stock in the tender offer, which represented all shares of Issuer Common Stock held by the Reporting Persons.</w:t>
      </w:r>
    </w:p>
    <w:p>
      <w:pPr>
        <w:spacing w:after="0" w:line="30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Interest in the Securities of the Issuer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5(a)-(b) of the Schedule 13D are hereby amended and supplemented as follows: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contained on the cover pages of this Amendment is incorporated herein by reference.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5(c) of the Schedule 13D is hereby amended and supplemented as follows: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contained in Item 4 of this Amendment is incorporated herein by reference.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5(e) of the Schedule 13D is hereby amended and supplemented as follows:</w:t>
      </w:r>
    </w:p>
    <w:p>
      <w:pPr>
        <w:spacing w:after="0" w:line="225" w:lineRule="exact"/>
        <w:rPr>
          <w:sz w:val="20"/>
          <w:szCs w:val="20"/>
          <w:color w:val="auto"/>
        </w:rPr>
      </w:pPr>
    </w:p>
    <w:p>
      <w:pPr>
        <w:jc w:val="center"/>
        <w:ind w:right="440"/>
        <w:spacing w:after="0" w:line="454" w:lineRule="auto"/>
        <w:rPr>
          <w:sz w:val="20"/>
          <w:szCs w:val="20"/>
          <w:color w:val="auto"/>
        </w:rPr>
      </w:pPr>
      <w:r>
        <w:rPr>
          <w:rFonts w:ascii="Times New Roman" w:cs="Times New Roman" w:eastAsia="Times New Roman" w:hAnsi="Times New Roman"/>
          <w:sz w:val="18"/>
          <w:szCs w:val="18"/>
          <w:color w:val="auto"/>
        </w:rPr>
        <w:t>As of July 2, 2024, the Reporting Persons ceased to beneficially own more than five percent of the outstanding Issuer Common Stock. 3</w:t>
      </w:r>
    </w:p>
    <w:p>
      <w:pPr>
        <w:sectPr>
          <w:pgSz w:w="11900" w:h="16838" w:orient="portrait"/>
          <w:cols w:equalWidth="0" w:num="1">
            <w:col w:w="10980"/>
          </w:cols>
          <w:pgMar w:left="440" w:top="270"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July 9, 2024</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Bharatt Chowrira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Bharatt Chowrira</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PureTech Health LLC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Bharatt Chowrira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Bharatt Chowrira</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sectPr>
      <w:pgSz w:w="11900" w:h="16838" w:orient="portrait"/>
      <w:cols w:equalWidth="0" w:num="1">
        <w:col w:w="10900"/>
      </w:cols>
      <w:pgMar w:left="440" w:top="266"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
      <w:numFmt w:val="bullet"/>
      <w:start w:val="1"/>
    </w:lvl>
    <w:lvl w:ilvl="1">
      <w:lvlJc w:val="left"/>
      <w:lvlText w:val=" "/>
      <w:numFmt w:val="bullet"/>
      <w:start w:val="1"/>
    </w:lvl>
  </w:abstractNum>
  <w:abstractNum w:abstractNumId="2">
    <w:nsid w:val="46E87CCD"/>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3">
    <w:nsid w:val="3D1B58BA"/>
    <w:multiLevelType w:val="hybridMultilevel"/>
    <w:lvl w:ilvl="0">
      <w:lvlJc w:val="left"/>
      <w:lvlText w:val="%1"/>
      <w:numFmt w:val="decimal"/>
      <w:start w:val="11"/>
    </w:lvl>
    <w:lvl w:ilvl="1">
      <w:lvlJc w:val="left"/>
      <w:lvlText w:val=" "/>
      <w:numFmt w:val="bullet"/>
      <w:start w:val="1"/>
    </w:lvl>
  </w:abstractNum>
  <w:abstractNum w:abstractNumId="4">
    <w:nsid w:val="507ED7AB"/>
    <w:multiLevelType w:val="hybridMultilevel"/>
    <w:lvl w:ilvl="0">
      <w:lvlJc w:val="left"/>
      <w:lvlText w:val=" "/>
      <w:numFmt w:val="bullet"/>
      <w:start w:val="1"/>
    </w:lvl>
    <w:lvl w:ilvl="1">
      <w:lvlJc w:val="left"/>
      <w:lvlText w:val=" "/>
      <w:numFmt w:val="bullet"/>
      <w:start w:val="1"/>
    </w:lvl>
  </w:abstractNum>
  <w:abstractNum w:abstractNumId="5">
    <w:nsid w:val="2EB141F2"/>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6">
    <w:nsid w:val="41B71EFB"/>
    <w:multiLevelType w:val="hybridMultilevel"/>
    <w:lvl w:ilvl="0">
      <w:lvlJc w:val="left"/>
      <w:lvlText w:val="%1"/>
      <w:numFmt w:val="decimal"/>
      <w:start w:val="11"/>
    </w:lvl>
    <w:lvl w:ilvl="1">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2024-07-09T07:08:52Z</dcterms:created>
  <dcterms:modified xsi:type="dcterms:W3CDTF">2024-07-09T07:08:52Z</dcterms:modified>
</cp:coreProperties>
</file>