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PureTech Health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G7297M101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ind w:left="180" w:hanging="118"/>
        <w:spacing w:after="0"/>
        <w:tabs>
          <w:tab w:leader="none" w:pos="180"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13d-1(b)</w:t>
      </w:r>
    </w:p>
    <w:p>
      <w:pPr>
        <w:spacing w:after="0" w:line="98" w:lineRule="exact"/>
        <w:rPr>
          <w:rFonts w:ascii="Times New Roman" w:cs="Times New Roman" w:eastAsia="Times New Roman" w:hAnsi="Times New Roman"/>
          <w:sz w:val="22"/>
          <w:szCs w:val="22"/>
          <w:color w:val="auto"/>
        </w:rPr>
      </w:pPr>
    </w:p>
    <w:p>
      <w:pPr>
        <w:jc w:val="both"/>
        <w:ind w:left="60" w:right="9420" w:firstLine="2"/>
        <w:spacing w:after="0" w:line="360" w:lineRule="auto"/>
        <w:tabs>
          <w:tab w:leader="none" w:pos="186"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13d-1(c) [X] Rule 13d-1(d)</w:t>
      </w:r>
    </w:p>
    <w:p>
      <w:pPr>
        <w:spacing w:after="0" w:line="114" w:lineRule="exact"/>
        <w:rPr>
          <w:rFonts w:ascii="Times New Roman" w:cs="Times New Roman" w:eastAsia="Times New Roman" w:hAnsi="Times New Roman"/>
          <w:sz w:val="22"/>
          <w:szCs w:val="22"/>
          <w:color w:val="auto"/>
        </w:rPr>
      </w:pPr>
    </w:p>
    <w:p>
      <w:pPr>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G7297M101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98-0557567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65,089,880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65,089,880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65,089,880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460" w:right="7680" w:hanging="547"/>
        <w:spacing w:after="0" w:line="286" w:lineRule="auto"/>
        <w:tabs>
          <w:tab w:leader="none" w:pos="14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PureTech Health PLC</w:t>
      </w:r>
    </w:p>
    <w:p>
      <w:pPr>
        <w:spacing w:after="0" w:line="45" w:lineRule="exact"/>
        <w:rPr>
          <w:rFonts w:ascii="Times New Roman" w:cs="Times New Roman" w:eastAsia="Times New Roman" w:hAnsi="Times New Roman"/>
          <w:sz w:val="21"/>
          <w:szCs w:val="21"/>
          <w:b w:val="1"/>
          <w:bCs w:val="1"/>
          <w:color w:val="auto"/>
        </w:rPr>
      </w:pPr>
    </w:p>
    <w:p>
      <w:pPr>
        <w:ind w:left="1460" w:right="5260" w:hanging="547"/>
        <w:spacing w:after="0" w:line="262" w:lineRule="auto"/>
        <w:tabs>
          <w:tab w:leader="none" w:pos="14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6, Tide Street, Boston, MA 02210</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460" w:right="704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Invesco Ltd. ("Invesco Ltd.")</w:t>
      </w:r>
    </w:p>
    <w:p>
      <w:pPr>
        <w:spacing w:after="0" w:line="45" w:lineRule="exact"/>
        <w:rPr>
          <w:rFonts w:ascii="Times New Roman" w:cs="Times New Roman" w:eastAsia="Times New Roman" w:hAnsi="Times New Roman"/>
          <w:sz w:val="21"/>
          <w:szCs w:val="21"/>
          <w:b w:val="1"/>
          <w:bCs w:val="1"/>
          <w:color w:val="auto"/>
        </w:rPr>
      </w:pPr>
    </w:p>
    <w:p>
      <w:pPr>
        <w:ind w:left="1460" w:right="416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1555 Peachtree Street NE, Suite 1800, Atlanta, GA 30309</w:t>
      </w:r>
    </w:p>
    <w:p>
      <w:pPr>
        <w:spacing w:after="0" w:line="45" w:lineRule="exact"/>
        <w:rPr>
          <w:rFonts w:ascii="Times New Roman" w:cs="Times New Roman" w:eastAsia="Times New Roman" w:hAnsi="Times New Roman"/>
          <w:sz w:val="21"/>
          <w:szCs w:val="21"/>
          <w:b w:val="1"/>
          <w:bCs w:val="1"/>
          <w:color w:val="auto"/>
        </w:rPr>
      </w:pPr>
    </w:p>
    <w:p>
      <w:pPr>
        <w:ind w:left="1460" w:right="852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Bermuda</w:t>
      </w:r>
    </w:p>
    <w:p>
      <w:pPr>
        <w:spacing w:after="0" w:line="45" w:lineRule="exact"/>
        <w:rPr>
          <w:rFonts w:ascii="Times New Roman" w:cs="Times New Roman" w:eastAsia="Times New Roman" w:hAnsi="Times New Roman"/>
          <w:sz w:val="21"/>
          <w:szCs w:val="21"/>
          <w:b w:val="1"/>
          <w:bCs w:val="1"/>
          <w:color w:val="auto"/>
        </w:rPr>
      </w:pPr>
    </w:p>
    <w:p>
      <w:pPr>
        <w:ind w:left="1460" w:right="7180" w:hanging="547"/>
        <w:spacing w:after="0" w:line="262" w:lineRule="auto"/>
        <w:tabs>
          <w:tab w:leader="none" w:pos="14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460" w:right="810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G7297M101</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(a)</w:t>
        <w:tab/>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(b)</w:t>
        <w:tab/>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(c)</w:t>
        <w:tab/>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(d)</w:t>
        <w:tab/>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(e)</w:t>
        <w:tab/>
        <w:t>[X]</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(g)</w:t>
        <w:tab/>
        <w:t>[X]</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(h)</w:t>
        <w:tab/>
        <w:t>[ ]</w:t>
      </w:r>
    </w:p>
    <w:p>
      <w:pPr>
        <w:spacing w:after="0" w:line="368"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6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220"/>
            <w:col w:w="882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460" w:hanging="547"/>
        <w:spacing w:after="0"/>
        <w:tabs>
          <w:tab w:leader="none" w:pos="14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460" w:right="66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Invesco Ltd. , in its capacity as a parent holding company to its investment advisers, may be deemed to beneficially own 65,089,880 shares of the Issuer which are held of record by clients of Invesco Ltd. ..</w:t>
      </w:r>
    </w:p>
    <w:p>
      <w:pPr>
        <w:sectPr>
          <w:pgSz w:w="11900" w:h="16838" w:orient="portrait"/>
          <w:cols w:equalWidth="0" w:num="1">
            <w:col w:w="11020"/>
          </w:cols>
          <w:pgMar w:left="400" w:top="419" w:right="479" w:bottom="0" w:gutter="0" w:footer="0" w:header="0"/>
          <w:type w:val="continuous"/>
        </w:sectPr>
      </w:pPr>
    </w:p>
    <w:p>
      <w:pPr>
        <w:spacing w:after="0" w:line="54" w:lineRule="exact"/>
        <w:rPr>
          <w:sz w:val="20"/>
          <w:szCs w:val="20"/>
          <w:color w:val="auto"/>
        </w:rPr>
      </w:pPr>
    </w:p>
    <w:p>
      <w:pPr>
        <w:ind w:left="1460" w:hanging="547"/>
        <w:spacing w:after="0"/>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23.4%</w:t>
      </w:r>
    </w:p>
    <w:p>
      <w:pPr>
        <w:spacing w:after="0" w:line="125" w:lineRule="exact"/>
        <w:rPr>
          <w:rFonts w:ascii="Times New Roman" w:cs="Times New Roman" w:eastAsia="Times New Roman" w:hAnsi="Times New Roman"/>
          <w:sz w:val="22"/>
          <w:szCs w:val="22"/>
          <w:color w:val="auto"/>
        </w:rPr>
      </w:pPr>
    </w:p>
    <w:p>
      <w:pPr>
        <w:ind w:left="1460" w:hanging="547"/>
        <w:spacing w:after="0"/>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200" w:hanging="747"/>
        <w:spacing w:after="0"/>
        <w:tabs>
          <w:tab w:leader="none" w:pos="22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200" w:hanging="747"/>
        <w:spacing w:after="0"/>
        <w:tabs>
          <w:tab w:leader="none" w:pos="22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200" w:hanging="747"/>
        <w:spacing w:after="0"/>
        <w:tabs>
          <w:tab w:leader="none" w:pos="22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200" w:right="780" w:hanging="747"/>
        <w:spacing w:after="0" w:line="185" w:lineRule="auto"/>
        <w:tabs>
          <w:tab w:leader="none" w:pos="22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65,089,880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65,089,880</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380" w:space="280"/>
            <w:col w:w="4360"/>
          </w:cols>
          <w:pgMar w:left="400" w:top="419" w:right="479" w:bottom="0" w:gutter="0" w:footer="0" w:header="0"/>
          <w:type w:val="continuous"/>
        </w:sect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right="100"/>
        <w:spacing w:after="0" w:line="236" w:lineRule="auto"/>
        <w:rPr>
          <w:sz w:val="20"/>
          <w:szCs w:val="20"/>
          <w:color w:val="auto"/>
        </w:rPr>
      </w:pPr>
      <w:r>
        <w:rPr>
          <w:rFonts w:ascii="Times New Roman" w:cs="Times New Roman" w:eastAsia="Times New Roman" w:hAnsi="Times New Roman"/>
          <w:sz w:val="22"/>
          <w:szCs w:val="22"/>
          <w:color w:val="auto"/>
        </w:rPr>
        <w:t>Invesco Asset Management Limited is a subsidiary of Invesco Ltd. and it advises the Invesco UK Equity High Income Fund (UK) which owns 15.59% of the security reported herein. Invesco Asset Management Limited is a subsidiary of Invesco Ltd. and it advises the Invesco UK Equity Income Fund (UK) which owns 7.09%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96"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Asset Management Limited</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08"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By: /s/ Robert R. Leveille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-13970</wp:posOffset>
            </wp:positionV>
            <wp:extent cx="1181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Global Head of Compliance</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2023-02-10T05:33:11Z</dcterms:created>
  <dcterms:modified xsi:type="dcterms:W3CDTF">2023-02-10T05:33:11Z</dcterms:modified>
</cp:coreProperties>
</file>