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16, 2025, PureTech Health plc (LSE: PRTC, Nasdaq: PRTC) (the “Company”) issued a press release announcing the results of its 2025 Annual General Meeting. The full text of the resolutions may be found in the Notice of the Annual General Meeting, copies of which are available on both the Company’s website https://investors.puretechhealth.com/financials-filings/reports and on the National Storage Mechanism.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PureTech Health plc, dated June 16, 2025, titled “Results of Annual General Meeting”</w:t>
      </w:r>
    </w:p>
    <w:p>
      <w:pPr>
        <w:sectPr>
          <w:pgSz w:w="11900" w:h="16838" w:orient="portrait"/>
          <w:cols w:equalWidth="0" w:num="1">
            <w:col w:w="10920"/>
          </w:cols>
          <w:pgMar w:left="440" w:top="266" w:right="5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Bharatt Chowrira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June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Annual General Meeting</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Annual General Meeting of PureTech Health plc (Nasdaq: PRTC, LSE: PRTC) (“PureTech Health” or the “Company”) was held at 11 a.m. EDT/4 p.m. BST on Monday, June 16, 2025.</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of the resolutions proposed at the Annual General Meeting were duly passed by the shareholders on a poll. The results of the poll, incorporating the proxy votes lodged in advance of the meeting, are set out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Resolutions</w:t>
            </w: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w:t>
            </w: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4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votes cast</w:t>
            </w:r>
          </w:p>
        </w:tc>
      </w:tr>
      <w:tr>
        <w:trPr>
          <w:trHeight w:val="191"/>
        </w:trPr>
        <w:tc>
          <w:tcPr>
            <w:tcW w:w="3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001.</w:t>
            </w:r>
          </w:p>
        </w:tc>
        <w:tc>
          <w:tcPr>
            <w:tcW w:w="484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To approve the Company’s Annual Report and Accounts for year</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34"/>
        </w:trPr>
        <w:tc>
          <w:tcPr>
            <w:tcW w:w="5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ended 31 December 2024</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161,252,066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99.97%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43,159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43,897</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161,295,225</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002.</w:t>
            </w: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approve the Directors’ Remuneration Report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87,191,034</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72.49%</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33,087,512</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41,060,576</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120,278,546</w:t>
            </w: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003.</w:t>
            </w:r>
          </w:p>
        </w:tc>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re-elect Ms. Sharon Barber-Lui as a Director</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161,168,598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99.90%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165,990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161,334,588</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004.</w:t>
            </w: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re-elect Dr. Bharatt Chowrira as a Director</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159,345,453</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98.77%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1,989,135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161,334,588</w:t>
            </w: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005.</w:t>
            </w:r>
          </w:p>
        </w:tc>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elect Dr. Michele Holcomb as a Director</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159,890,727</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99.90%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153,630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1,294,765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160,044,357</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006.</w:t>
            </w: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re-elect Dr. Raju Kucherlapati as a Director</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146,615,269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90.88%</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14,717,819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161,333,088</w:t>
            </w: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007.</w:t>
            </w:r>
          </w:p>
        </w:tc>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re-elect Dr. John LaMattina as a Director</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144,341,297</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89.47%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16,993,291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10.53%</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161,334,588</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008.</w:t>
            </w: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re-elect Dr. Robert Langer as a Director</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153,961,298</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95.43%</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7,373,290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161,334,588</w:t>
            </w: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009.</w:t>
            </w:r>
          </w:p>
        </w:tc>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re-elect Ms. Kiran Mazumdar-Shaw as a Director</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107,562,883</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72.65%</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40,486,567</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27.35%</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13,289,672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148,049,450</w:t>
            </w:r>
          </w:p>
        </w:tc>
      </w:tr>
      <w:tr>
        <w:trPr>
          <w:trHeight w:val="198"/>
        </w:trPr>
        <w:tc>
          <w:tcPr>
            <w:tcW w:w="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010.</w:t>
            </w:r>
          </w:p>
        </w:tc>
        <w:tc>
          <w:tcPr>
            <w:tcW w:w="49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To reappoint PricewaterhouseCoopers LLP as Auditors of the</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5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161,186,429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99.93%</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110,554</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42,139</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161,296,983</w:t>
            </w:r>
          </w:p>
        </w:tc>
      </w:tr>
      <w:tr>
        <w:trPr>
          <w:trHeight w:val="198"/>
        </w:trPr>
        <w:tc>
          <w:tcPr>
            <w:tcW w:w="5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011. To authorize the Audit Committee to determine the Auditors’</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5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remuneration</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161,209,226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99.92%</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123,862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161,333,088</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012.</w:t>
            </w: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authorize the allotment of shares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159,323,565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99.08%</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1,471,794</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543,763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160,795,359</w:t>
            </w: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013.</w:t>
            </w:r>
          </w:p>
        </w:tc>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disapply pre-emption rights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159,120,011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98.63%</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2,216,077</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161,336,088</w:t>
            </w:r>
          </w:p>
        </w:tc>
      </w:tr>
    </w:tbl>
    <w:p>
      <w:pPr>
        <w:sectPr>
          <w:pgSz w:w="11900" w:h="16838" w:orient="portrait"/>
          <w:cols w:equalWidth="0" w:num="1">
            <w:col w:w="11020"/>
          </w:cols>
          <w:pgMar w:left="440" w:top="117"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014.</w:t>
            </w: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further disapply pre-emption rights for acquisitions and specified</w:t>
            </w:r>
          </w:p>
        </w:tc>
        <w:tc>
          <w:tcPr>
            <w:tcW w:w="1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investments.</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157,494,464</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97.95%</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3,301,394</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543,264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160,795,858</w:t>
            </w:r>
          </w:p>
        </w:tc>
      </w:tr>
      <w:tr>
        <w:trPr>
          <w:trHeight w:val="216"/>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015.</w:t>
            </w: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authorize market purchase of own shares</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159,970,124</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99.15%</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1,365,463</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0.85%</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161,335,587</w:t>
            </w:r>
          </w:p>
        </w:tc>
      </w:tr>
      <w:tr>
        <w:trPr>
          <w:trHeight w:val="198"/>
        </w:trPr>
        <w:tc>
          <w:tcPr>
            <w:tcW w:w="3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5"/>
              </w:rPr>
              <w:t>016.</w:t>
            </w:r>
          </w:p>
        </w:tc>
        <w:tc>
          <w:tcPr>
            <w:tcW w:w="5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 authorize general meetings to be called on not less than 14 clear</w:t>
            </w:r>
          </w:p>
        </w:tc>
        <w:tc>
          <w:tcPr>
            <w:tcW w:w="1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days’ notice</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161,167,825</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99.91%</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148,763</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0.09%</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22,534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161,316,588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all Resolutions were passed with significant majorities, the Board notes that Resolutions 2 and 9 received less than 80% of votes cast in favor.</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Board has consistently taken steps to proactively engage with shareholders on remuneration and governance, including during 2024 and 2025. Consistent with prior practice, the Board will continue to engage with shareholders in the periods ahead and remains committed to maintaining open and constructive dialogue. The Company will provide an update on engagement within six months of today’s Annual General Meeting, in accordance with the UK Corporate Governance Code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“Withheld” is not a vote in law and is not counted in the calculation of the votes “For” or “Against” a resolution.</w:t>
      </w:r>
    </w:p>
    <w:p>
      <w:pPr>
        <w:spacing w:after="0" w:line="130" w:lineRule="exact"/>
        <w:rPr>
          <w:rFonts w:ascii="Times New Roman" w:cs="Times New Roman" w:eastAsia="Times New Roman" w:hAnsi="Times New Roman"/>
          <w:sz w:val="18"/>
          <w:szCs w:val="18"/>
          <w:color w:val="auto"/>
        </w:rPr>
      </w:pPr>
    </w:p>
    <w:p>
      <w:pPr>
        <w:ind w:left="960" w:right="16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June 16, 2025, the number of outstanding shares in the Company was 240,254,449 ordinary shares, which was the total number of shares entitling the holders to attend and vote for or against all the resolutions at the AGM. In accordance with the Company’s Articles of Association, on a poll every member present in person or by proxy has one vote for every share held.</w:t>
      </w:r>
    </w:p>
    <w:p>
      <w:pPr>
        <w:spacing w:after="0" w:line="81" w:lineRule="exact"/>
        <w:rPr>
          <w:rFonts w:ascii="Times New Roman" w:cs="Times New Roman" w:eastAsia="Times New Roman" w:hAnsi="Times New Roman"/>
          <w:sz w:val="18"/>
          <w:szCs w:val="18"/>
          <w:color w:val="auto"/>
        </w:rPr>
      </w:pPr>
    </w:p>
    <w:p>
      <w:pPr>
        <w:ind w:left="960" w:right="5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full text of the resolutions may be found in the Notice of the Annual General Meeting, copies of which are available on both the Company’s website </w:t>
      </w:r>
      <w:r>
        <w:rPr>
          <w:rFonts w:ascii="Times New Roman" w:cs="Times New Roman" w:eastAsia="Times New Roman" w:hAnsi="Times New Roman"/>
          <w:sz w:val="18"/>
          <w:szCs w:val="18"/>
          <w:u w:val="single" w:color="auto"/>
          <w:color w:val="auto"/>
        </w:rPr>
        <w:t>https://investors.puretechhealth.com/financials-filings/reports</w:t>
      </w:r>
      <w:r>
        <w:rPr>
          <w:rFonts w:ascii="Times New Roman" w:cs="Times New Roman" w:eastAsia="Times New Roman" w:hAnsi="Times New Roman"/>
          <w:sz w:val="18"/>
          <w:szCs w:val="18"/>
          <w:color w:val="auto"/>
        </w:rPr>
        <w:t xml:space="preserve"> and on the National Storage Mechanism.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portfolio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three that have been approved by the U.S. Food and Drug Administration. A number of these programs are being advanced by PureTech or its Founded Entities in various indications and stages of clinical development, including registration-enabling studies. All of the underlying programs and platforms that resulted in this portfolio of therapeutic candidates were initially identified or discovered and then advanced by the PureTech team through key validation points.</w:t>
      </w:r>
    </w:p>
    <w:p>
      <w:pPr>
        <w:sectPr>
          <w:pgSz w:w="11900" w:h="16838" w:orient="portrait"/>
          <w:cols w:equalWidth="0" w:num="1">
            <w:col w:w="11020"/>
          </w:cols>
          <w:pgMar w:left="440" w:top="279"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more information, visit </w:t>
      </w:r>
      <w:r>
        <w:rPr>
          <w:rFonts w:ascii="Times New Roman" w:cs="Times New Roman" w:eastAsia="Times New Roman" w:hAnsi="Times New Roman"/>
          <w:sz w:val="18"/>
          <w:szCs w:val="18"/>
          <w:u w:val="single" w:color="auto"/>
          <w:color w:val="auto"/>
        </w:rPr>
        <w:t>www.puretechhealth.com</w:t>
      </w:r>
      <w:r>
        <w:rPr>
          <w:rFonts w:ascii="Times New Roman" w:cs="Times New Roman" w:eastAsia="Times New Roman" w:hAnsi="Times New Roman"/>
          <w:sz w:val="18"/>
          <w:szCs w:val="18"/>
          <w:color w:val="auto"/>
        </w:rPr>
        <w:t xml:space="preserve">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our expectations around our therapeutic candidates and approach towards addressing major diseases, our future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2024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IR@puretechhealth.com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2025-06-16T15:33:58Z</dcterms:created>
  <dcterms:modified xsi:type="dcterms:W3CDTF">2025-06-16T15:33:58Z</dcterms:modified>
</cp:coreProperties>
</file>