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November 30, 2022, the Company had the following daily purchases of its own Ordinary Shares under the Program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0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5"/>
              </w:rPr>
              <w:t>Ordinary Shares</w:t>
            </w:r>
          </w:p>
        </w:tc>
        <w:tc>
          <w:tcPr>
            <w:tcW w:w="21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Volume Weighted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80" w:type="dxa"/>
            <w:vAlign w:val="bottom"/>
            <w:vMerge w:val="restart"/>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1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202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2"/>
              </w:rPr>
              <w:t>Highest Price Paid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900" w:type="dxa"/>
            <w:vAlign w:val="bottom"/>
            <w:gridSpan w:val="2"/>
          </w:tcPr>
          <w:p>
            <w:pPr>
              <w:jc w:val="center"/>
              <w:ind w:right="860"/>
              <w:spacing w:after="0" w:line="158" w:lineRule="exact"/>
              <w:rPr>
                <w:sz w:val="20"/>
                <w:szCs w:val="20"/>
                <w:color w:val="auto"/>
              </w:rPr>
            </w:pPr>
            <w:r>
              <w:rPr>
                <w:rFonts w:ascii="Arial" w:cs="Arial" w:eastAsia="Arial" w:hAnsi="Arial"/>
                <w:sz w:val="14"/>
                <w:szCs w:val="14"/>
                <w:b w:val="1"/>
                <w:bCs w:val="1"/>
                <w:color w:val="auto"/>
                <w:w w:val="90"/>
              </w:rPr>
              <w:t>Repurchased</w:t>
            </w:r>
          </w:p>
        </w:tc>
        <w:tc>
          <w:tcPr>
            <w:tcW w:w="210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6"/>
              </w:rPr>
              <w:t>per Ordinary Share</w:t>
            </w:r>
          </w:p>
        </w:tc>
        <w:tc>
          <w:tcPr>
            <w:tcW w:w="202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November 1, 2022</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37,358</w:t>
            </w:r>
          </w:p>
        </w:tc>
        <w:tc>
          <w:tcPr>
            <w:tcW w:w="8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241.12p</w:t>
            </w:r>
          </w:p>
        </w:tc>
        <w:tc>
          <w:tcPr>
            <w:tcW w:w="8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242.50p</w:t>
            </w:r>
          </w:p>
        </w:tc>
        <w:tc>
          <w:tcPr>
            <w:tcW w:w="8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233.00p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2,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19,275</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248.45p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248.50p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243.50p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28,771</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242.46p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242.50p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242.00p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4,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32,022</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247.65p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250.00p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244.50p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7,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25,351</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245.83p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248.50p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243.00p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8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24,786</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246.63p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248.50p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242.00p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9,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22,493</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242.70p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247.00p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238.50p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10,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21,690</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239.84p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243.00p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237.00p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11,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20,635</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239.81p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247.50p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237.00p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14,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19,635</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240.55p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242.00p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238.00p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15,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18,246</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239.73p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242.00p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236.00p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16,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18,584</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236.83p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240.00p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234.00p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17,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18,045</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237.90p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243.50p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236.00p</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November 18,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17,427</w:t>
            </w:r>
          </w:p>
        </w:tc>
        <w:tc>
          <w:tcPr>
            <w:tcW w:w="860" w:type="dxa"/>
            <w:vAlign w:val="bottom"/>
          </w:tcPr>
          <w:p>
            <w:pPr>
              <w:spacing w:after="0"/>
              <w:rPr>
                <w:sz w:val="18"/>
                <w:szCs w:val="18"/>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239.70p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241.00p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236.00p</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November 21,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342</w:t>
            </w:r>
          </w:p>
        </w:tc>
        <w:tc>
          <w:tcPr>
            <w:tcW w:w="860" w:type="dxa"/>
            <w:vAlign w:val="bottom"/>
          </w:tcPr>
          <w:p>
            <w:pPr>
              <w:spacing w:after="0"/>
              <w:rPr>
                <w:sz w:val="20"/>
                <w:szCs w:val="20"/>
                <w:color w:val="auto"/>
              </w:rPr>
            </w:pPr>
          </w:p>
        </w:tc>
        <w:tc>
          <w:tcPr>
            <w:tcW w:w="21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249.58p</w:t>
            </w:r>
          </w:p>
        </w:tc>
        <w:tc>
          <w:tcPr>
            <w:tcW w:w="202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250.00p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249.00p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month ended November 30, 2022, the Company repurchased an aggregate of 324,660 Ordinary Shares. As of November 30, 2022, the Company’s issued share capital was 289,161,653 shares, 10,595,347 of which were held in treasury, resulting in total voting rights in the Company of 278,566,306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November 1, 2022: https://data.fca.org.uk/artefacts/NSM/RNS/4565178.html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 https://data.fca.org.uk/artefacts/NSM/RNS/4566680.html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2022: https://data.fca.org.uk/artefacts/NSM/RNS/4568103.html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 https://data.fca.org.uk/artefacts/NSM/RNS/4569729.html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2022: https://data.fca.org.uk/artefacts/NSM/RNS/4571158.html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2022: https://data.fca.org.uk/artefacts/NSM/RNS/4572762.html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2022: https://data.fca.org.uk/artefacts/NSM/RNS/4574222.html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 https://data.fca.org.uk/artefacts/NSM/RNS/4575815.html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11, 2022: https://data.fca.org.uk/artefacts/NSM/RNS/4577418.html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 https://data.fca.org.uk/artefacts/NSM/RNS/4578981.html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2022: https://data.fca.org.uk/artefacts/NSM/RNS/4580448.html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 https://data.fca.org.uk/artefacts/NSM/RNS/4582101.html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2022: https://data.fca.org.uk/artefacts/NSM/RNS/4583606.html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2022: https://data.fca.org.uk/artefacts/NSM/RNS/4585091.html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2022: https://data.fca.org.uk/artefacts/NSM/RNS/4586559.html</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660" w:type="dxa"/>
            <w:vAlign w:val="bottom"/>
            <w:gridSpan w:val="3"/>
          </w:tcPr>
          <w:p>
            <w:pPr>
              <w:ind w:left="1600"/>
              <w:spacing w:after="0"/>
              <w:rPr>
                <w:sz w:val="20"/>
                <w:szCs w:val="20"/>
                <w:color w:val="auto"/>
              </w:rPr>
            </w:pPr>
            <w:r>
              <w:rPr>
                <w:rFonts w:ascii="Arial" w:cs="Arial" w:eastAsia="Arial" w:hAnsi="Arial"/>
                <w:sz w:val="18"/>
                <w:szCs w:val="18"/>
                <w:color w:val="auto"/>
              </w:rPr>
              <w:t>PURETECH HEALTH PLC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December 2, 2022</w:t>
            </w:r>
          </w:p>
        </w:tc>
        <w:tc>
          <w:tcPr>
            <w:tcW w:w="7660" w:type="dxa"/>
            <w:vAlign w:val="bottom"/>
            <w:gridSpan w:val="3"/>
          </w:tcPr>
          <w:p>
            <w:pPr>
              <w:ind w:left="1600"/>
              <w:spacing w:after="0"/>
              <w:rPr>
                <w:sz w:val="20"/>
                <w:szCs w:val="20"/>
                <w:color w:val="auto"/>
              </w:rPr>
            </w:pPr>
            <w:r>
              <w:rPr>
                <w:rFonts w:ascii="Arial" w:cs="Arial" w:eastAsia="Arial" w:hAnsi="Arial"/>
                <w:sz w:val="18"/>
                <w:szCs w:val="18"/>
                <w:color w:val="auto"/>
              </w:rPr>
              <w:t>By:    /s/ Daphne Zohar</w:t>
            </w:r>
          </w:p>
        </w:tc>
      </w:tr>
      <w:tr>
        <w:trPr>
          <w:trHeight w:val="209"/>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2022-12-02T15:47:38Z</dcterms:created>
  <dcterms:modified xsi:type="dcterms:W3CDTF">2022-12-02T15:47:38Z</dcterms:modified>
</cp:coreProperties>
</file>