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Pursuant to Rule 13a-16 or 15d-16</w:t>
      </w:r>
    </w:p>
    <w:p>
      <w:pPr>
        <w:jc w:val="center"/>
        <w:ind w:right="-98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September, 2023</w:t>
      </w:r>
    </w:p>
    <w:p>
      <w:pPr>
        <w:spacing w:after="0" w:line="225"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PURETECH HEALTH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6 Tide Street, Suite 400</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192" w:lineRule="exact"/>
        <w:rPr>
          <w:sz w:val="24"/>
          <w:szCs w:val="24"/>
          <w:color w:val="auto"/>
        </w:rPr>
      </w:pPr>
    </w:p>
    <w:p>
      <w:pPr>
        <w:ind w:left="4120"/>
        <w:spacing w:after="0" w:line="207" w:lineRule="exact"/>
        <w:rPr>
          <w:sz w:val="20"/>
          <w:szCs w:val="20"/>
          <w:color w:val="auto"/>
        </w:rPr>
      </w:pPr>
      <w:r>
        <w:rPr>
          <w:rFonts w:ascii="Arial" w:cs="Arial" w:eastAsia="Arial" w:hAnsi="Arial"/>
          <w:sz w:val="18"/>
          <w:szCs w:val="18"/>
          <w:color w:val="auto"/>
        </w:rPr>
        <w:t>Form 20-F </w:t>
      </w:r>
      <w:r>
        <w:rPr>
          <w:rFonts w:ascii="MS PGothic" w:cs="MS PGothic" w:eastAsia="MS PGothic" w:hAnsi="MS PGothic"/>
          <w:sz w:val="18"/>
          <w:szCs w:val="18"/>
          <w:color w:val="auto"/>
        </w:rPr>
        <w:t>☒</w:t>
      </w:r>
      <w:r>
        <w:rPr>
          <w:rFonts w:ascii="Arial" w:cs="Arial" w:eastAsia="Arial" w:hAnsi="Arial"/>
          <w:sz w:val="18"/>
          <w:szCs w:val="18"/>
          <w:color w:val="auto"/>
        </w:rPr>
        <w:t>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212090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255270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82" w:right="1440"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May 9, 2022, PureTech Health plc (LSE: PRTC, Nasdaq: PRTC) (the “Company”) announced the commencement of a $50 million share repurchase program (the “Program”) of its ordinary shares of one pence each (“Ordinary Shares”). The Company plans to execute the Program in two equal tranches, the first of which was completed on October 26, 2022. In respect of each of the two tranches, PureTech entered into an irrevocable non-discretionary instruction with Jefferies International Limited (“Jefferies”) in relation to the purchase by Jefferies of Ordinary Shares for an aggregate consideration (excluding expenses) of no greater than $25 million and the simultaneous on-sale of such Ordinary Shares by Jefferies to PureTech. Jefferies makes its trading decisions in relation to the Ordinary Shares independently of, and uninfluenced by, the Company. Purchases may continue during any close period to which the Company is subject. Any purchase of Ordinary Shares under the second tranche of the Program are carried out on the London Stock Exchange and any other UK recognized investment exchange which may be agreed, in accordance with pre-set parameters and in accordance with, and subject to limits, including those limits related to daily volume and price, prescribed by the Company’s general authority to repurchase Ordinary Shares granted by its shareholders at its most recent annual general meeting on June 13, 2023, Chapter 12 of the Financial Conduct Authority’s UK Listing Rules, Article 5(1) of Regulation (EU) No. 596/2014 (as incorporated into UK domestic law by the European Union (Withdrawal) Act 2018) and Commission Delegated Regulation (EU) 2016/1052 (as incorporated into UK domestic law by the European Union (Withdrawal) Act 2018). All Ordinary Shares repurchased under the Program will be held in treasury.</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During the month ended September 30, 2023, the Company had the following daily purchases of its own Ordinary Shares under the Program through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Jefferies:</w:t>
      </w:r>
    </w:p>
    <w:p>
      <w:pPr>
        <w:spacing w:after="0" w:line="21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62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5"/>
              </w:rPr>
              <w:t>Ordinary Shares</w:t>
            </w:r>
          </w:p>
        </w:tc>
        <w:tc>
          <w:tcPr>
            <w:tcW w:w="18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Volume Weighted</w:t>
            </w: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3460" w:type="dxa"/>
            <w:vAlign w:val="bottom"/>
            <w:vMerge w:val="restart"/>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8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Average Price Paid</w:t>
            </w:r>
          </w:p>
        </w:tc>
        <w:tc>
          <w:tcPr>
            <w:tcW w:w="174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91"/>
              </w:rPr>
              <w:t>Highest Price Paid</w:t>
            </w:r>
          </w:p>
        </w:tc>
        <w:tc>
          <w:tcPr>
            <w:tcW w:w="116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0"/>
              </w:rPr>
              <w:t>Lowest Price Paid</w:t>
            </w: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vMerge w:val="continue"/>
          </w:tcPr>
          <w:p>
            <w:pPr>
              <w:spacing w:after="0"/>
              <w:rPr>
                <w:sz w:val="15"/>
                <w:szCs w:val="15"/>
                <w:color w:val="auto"/>
              </w:rPr>
            </w:pPr>
          </w:p>
        </w:tc>
        <w:tc>
          <w:tcPr>
            <w:tcW w:w="3460" w:type="dxa"/>
            <w:vAlign w:val="bottom"/>
            <w:vMerge w:val="continue"/>
          </w:tcPr>
          <w:p>
            <w:pPr>
              <w:spacing w:after="0"/>
              <w:rPr>
                <w:sz w:val="15"/>
                <w:szCs w:val="15"/>
                <w:color w:val="auto"/>
              </w:rPr>
            </w:pPr>
          </w:p>
        </w:tc>
        <w:tc>
          <w:tcPr>
            <w:tcW w:w="162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90"/>
              </w:rPr>
              <w:t>Repurchased</w:t>
            </w:r>
          </w:p>
        </w:tc>
        <w:tc>
          <w:tcPr>
            <w:tcW w:w="1840" w:type="dxa"/>
            <w:vAlign w:val="bottom"/>
            <w:gridSpan w:val="2"/>
          </w:tcPr>
          <w:p>
            <w:pPr>
              <w:jc w:val="right"/>
              <w:ind w:right="600"/>
              <w:spacing w:after="0" w:line="158" w:lineRule="exact"/>
              <w:rPr>
                <w:sz w:val="20"/>
                <w:szCs w:val="20"/>
                <w:color w:val="auto"/>
              </w:rPr>
            </w:pPr>
            <w:r>
              <w:rPr>
                <w:rFonts w:ascii="Arial" w:cs="Arial" w:eastAsia="Arial" w:hAnsi="Arial"/>
                <w:sz w:val="14"/>
                <w:szCs w:val="14"/>
                <w:b w:val="1"/>
                <w:bCs w:val="1"/>
                <w:color w:val="auto"/>
                <w:w w:val="96"/>
              </w:rPr>
              <w:t>per Ordinary Share</w:t>
            </w:r>
          </w:p>
        </w:tc>
        <w:tc>
          <w:tcPr>
            <w:tcW w:w="174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September 1, 2023</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35,954</w:t>
            </w:r>
          </w:p>
        </w:tc>
        <w:tc>
          <w:tcPr>
            <w:tcW w:w="5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200.06p</w:t>
            </w:r>
          </w:p>
        </w:tc>
        <w:tc>
          <w:tcPr>
            <w:tcW w:w="6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201.50p</w:t>
            </w:r>
          </w:p>
        </w:tc>
        <w:tc>
          <w:tcPr>
            <w:tcW w:w="6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197.80p</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September 4, 2023</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26,557</w:t>
            </w:r>
          </w:p>
        </w:tc>
        <w:tc>
          <w:tcPr>
            <w:tcW w:w="1840" w:type="dxa"/>
            <w:vAlign w:val="bottom"/>
            <w:gridSpan w:val="2"/>
          </w:tcPr>
          <w:p>
            <w:pPr>
              <w:jc w:val="right"/>
              <w:ind w:right="600"/>
              <w:spacing w:after="0"/>
              <w:rPr>
                <w:sz w:val="20"/>
                <w:szCs w:val="20"/>
                <w:color w:val="auto"/>
              </w:rPr>
            </w:pPr>
            <w:r>
              <w:rPr>
                <w:rFonts w:ascii="Arial" w:cs="Arial" w:eastAsia="Arial" w:hAnsi="Arial"/>
                <w:sz w:val="18"/>
                <w:szCs w:val="18"/>
                <w:color w:val="auto"/>
              </w:rPr>
              <w:t>202.06p</w:t>
            </w:r>
          </w:p>
        </w:tc>
        <w:tc>
          <w:tcPr>
            <w:tcW w:w="1740" w:type="dxa"/>
            <w:vAlign w:val="bottom"/>
            <w:gridSpan w:val="2"/>
          </w:tcPr>
          <w:p>
            <w:pPr>
              <w:jc w:val="right"/>
              <w:ind w:right="600"/>
              <w:spacing w:after="0"/>
              <w:rPr>
                <w:sz w:val="20"/>
                <w:szCs w:val="20"/>
                <w:color w:val="auto"/>
              </w:rPr>
            </w:pPr>
            <w:r>
              <w:rPr>
                <w:rFonts w:ascii="Arial" w:cs="Arial" w:eastAsia="Arial" w:hAnsi="Arial"/>
                <w:sz w:val="18"/>
                <w:szCs w:val="18"/>
                <w:color w:val="auto"/>
              </w:rPr>
              <w:t>203.50p</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200.50p</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5, 2023</w:t>
            </w: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34,972</w:t>
            </w:r>
          </w:p>
        </w:tc>
        <w:tc>
          <w:tcPr>
            <w:tcW w:w="18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204.04p</w:t>
            </w:r>
          </w:p>
        </w:tc>
        <w:tc>
          <w:tcPr>
            <w:tcW w:w="17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206.00p</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200.00p</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September 6, 2023</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34,183</w:t>
            </w:r>
          </w:p>
        </w:tc>
        <w:tc>
          <w:tcPr>
            <w:tcW w:w="1840" w:type="dxa"/>
            <w:vAlign w:val="bottom"/>
            <w:gridSpan w:val="2"/>
          </w:tcPr>
          <w:p>
            <w:pPr>
              <w:jc w:val="right"/>
              <w:ind w:right="600"/>
              <w:spacing w:after="0"/>
              <w:rPr>
                <w:sz w:val="20"/>
                <w:szCs w:val="20"/>
                <w:color w:val="auto"/>
              </w:rPr>
            </w:pPr>
            <w:r>
              <w:rPr>
                <w:rFonts w:ascii="Arial" w:cs="Arial" w:eastAsia="Arial" w:hAnsi="Arial"/>
                <w:sz w:val="18"/>
                <w:szCs w:val="18"/>
                <w:color w:val="auto"/>
              </w:rPr>
              <w:t>199.03p</w:t>
            </w:r>
          </w:p>
        </w:tc>
        <w:tc>
          <w:tcPr>
            <w:tcW w:w="1740" w:type="dxa"/>
            <w:vAlign w:val="bottom"/>
            <w:gridSpan w:val="2"/>
          </w:tcPr>
          <w:p>
            <w:pPr>
              <w:jc w:val="right"/>
              <w:ind w:right="600"/>
              <w:spacing w:after="0"/>
              <w:rPr>
                <w:sz w:val="20"/>
                <w:szCs w:val="20"/>
                <w:color w:val="auto"/>
              </w:rPr>
            </w:pPr>
            <w:r>
              <w:rPr>
                <w:rFonts w:ascii="Arial" w:cs="Arial" w:eastAsia="Arial" w:hAnsi="Arial"/>
                <w:sz w:val="18"/>
                <w:szCs w:val="18"/>
                <w:color w:val="auto"/>
              </w:rPr>
              <w:t>203.00p</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196.00p</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7, 2023</w:t>
            </w: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34,282</w:t>
            </w:r>
          </w:p>
        </w:tc>
        <w:tc>
          <w:tcPr>
            <w:tcW w:w="18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201.15p</w:t>
            </w:r>
          </w:p>
        </w:tc>
        <w:tc>
          <w:tcPr>
            <w:tcW w:w="17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205.00p</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198.20p</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September 8, 2023</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31,932</w:t>
            </w:r>
          </w:p>
        </w:tc>
        <w:tc>
          <w:tcPr>
            <w:tcW w:w="1840" w:type="dxa"/>
            <w:vAlign w:val="bottom"/>
            <w:gridSpan w:val="2"/>
          </w:tcPr>
          <w:p>
            <w:pPr>
              <w:jc w:val="right"/>
              <w:ind w:right="600"/>
              <w:spacing w:after="0"/>
              <w:rPr>
                <w:sz w:val="20"/>
                <w:szCs w:val="20"/>
                <w:color w:val="auto"/>
              </w:rPr>
            </w:pPr>
            <w:r>
              <w:rPr>
                <w:rFonts w:ascii="Arial" w:cs="Arial" w:eastAsia="Arial" w:hAnsi="Arial"/>
                <w:sz w:val="18"/>
                <w:szCs w:val="18"/>
                <w:color w:val="auto"/>
              </w:rPr>
              <w:t>200.45p</w:t>
            </w:r>
          </w:p>
        </w:tc>
        <w:tc>
          <w:tcPr>
            <w:tcW w:w="1740" w:type="dxa"/>
            <w:vAlign w:val="bottom"/>
            <w:gridSpan w:val="2"/>
          </w:tcPr>
          <w:p>
            <w:pPr>
              <w:jc w:val="right"/>
              <w:ind w:right="600"/>
              <w:spacing w:after="0"/>
              <w:rPr>
                <w:sz w:val="20"/>
                <w:szCs w:val="20"/>
                <w:color w:val="auto"/>
              </w:rPr>
            </w:pPr>
            <w:r>
              <w:rPr>
                <w:rFonts w:ascii="Arial" w:cs="Arial" w:eastAsia="Arial" w:hAnsi="Arial"/>
                <w:sz w:val="18"/>
                <w:szCs w:val="18"/>
                <w:color w:val="auto"/>
              </w:rPr>
              <w:t>202.00p</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198.20p</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11, 2023</w:t>
            </w: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31,688</w:t>
            </w:r>
          </w:p>
        </w:tc>
        <w:tc>
          <w:tcPr>
            <w:tcW w:w="18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202.20p</w:t>
            </w:r>
          </w:p>
        </w:tc>
        <w:tc>
          <w:tcPr>
            <w:tcW w:w="17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204.00p</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201.00p</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September 12, 2023</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35,193</w:t>
            </w:r>
          </w:p>
        </w:tc>
        <w:tc>
          <w:tcPr>
            <w:tcW w:w="1840" w:type="dxa"/>
            <w:vAlign w:val="bottom"/>
            <w:gridSpan w:val="2"/>
          </w:tcPr>
          <w:p>
            <w:pPr>
              <w:jc w:val="right"/>
              <w:ind w:right="600"/>
              <w:spacing w:after="0"/>
              <w:rPr>
                <w:sz w:val="20"/>
                <w:szCs w:val="20"/>
                <w:color w:val="auto"/>
              </w:rPr>
            </w:pPr>
            <w:r>
              <w:rPr>
                <w:rFonts w:ascii="Arial" w:cs="Arial" w:eastAsia="Arial" w:hAnsi="Arial"/>
                <w:sz w:val="18"/>
                <w:szCs w:val="18"/>
                <w:color w:val="auto"/>
              </w:rPr>
              <w:t>207.39p</w:t>
            </w:r>
          </w:p>
        </w:tc>
        <w:tc>
          <w:tcPr>
            <w:tcW w:w="1740" w:type="dxa"/>
            <w:vAlign w:val="bottom"/>
            <w:gridSpan w:val="2"/>
          </w:tcPr>
          <w:p>
            <w:pPr>
              <w:jc w:val="right"/>
              <w:ind w:right="600"/>
              <w:spacing w:after="0"/>
              <w:rPr>
                <w:sz w:val="20"/>
                <w:szCs w:val="20"/>
                <w:color w:val="auto"/>
              </w:rPr>
            </w:pPr>
            <w:r>
              <w:rPr>
                <w:rFonts w:ascii="Arial" w:cs="Arial" w:eastAsia="Arial" w:hAnsi="Arial"/>
                <w:sz w:val="18"/>
                <w:szCs w:val="18"/>
                <w:color w:val="auto"/>
              </w:rPr>
              <w:t>210.00p</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205.00p</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13, 2023</w:t>
            </w: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34,874</w:t>
            </w:r>
          </w:p>
        </w:tc>
        <w:tc>
          <w:tcPr>
            <w:tcW w:w="18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207.80p</w:t>
            </w:r>
          </w:p>
        </w:tc>
        <w:tc>
          <w:tcPr>
            <w:tcW w:w="17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209.50p</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204.50p</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September 14, 2023</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33,277</w:t>
            </w:r>
          </w:p>
        </w:tc>
        <w:tc>
          <w:tcPr>
            <w:tcW w:w="1840" w:type="dxa"/>
            <w:vAlign w:val="bottom"/>
            <w:gridSpan w:val="2"/>
          </w:tcPr>
          <w:p>
            <w:pPr>
              <w:jc w:val="right"/>
              <w:ind w:right="600"/>
              <w:spacing w:after="0"/>
              <w:rPr>
                <w:sz w:val="20"/>
                <w:szCs w:val="20"/>
                <w:color w:val="auto"/>
              </w:rPr>
            </w:pPr>
            <w:r>
              <w:rPr>
                <w:rFonts w:ascii="Arial" w:cs="Arial" w:eastAsia="Arial" w:hAnsi="Arial"/>
                <w:sz w:val="18"/>
                <w:szCs w:val="18"/>
                <w:color w:val="auto"/>
              </w:rPr>
              <w:t>209.59p</w:t>
            </w:r>
          </w:p>
        </w:tc>
        <w:tc>
          <w:tcPr>
            <w:tcW w:w="1740" w:type="dxa"/>
            <w:vAlign w:val="bottom"/>
            <w:gridSpan w:val="2"/>
          </w:tcPr>
          <w:p>
            <w:pPr>
              <w:jc w:val="right"/>
              <w:ind w:right="600"/>
              <w:spacing w:after="0"/>
              <w:rPr>
                <w:sz w:val="20"/>
                <w:szCs w:val="20"/>
                <w:color w:val="auto"/>
              </w:rPr>
            </w:pPr>
            <w:r>
              <w:rPr>
                <w:rFonts w:ascii="Arial" w:cs="Arial" w:eastAsia="Arial" w:hAnsi="Arial"/>
                <w:sz w:val="18"/>
                <w:szCs w:val="18"/>
                <w:color w:val="auto"/>
              </w:rPr>
              <w:t>212.50p</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206.50p</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15, 2023</w:t>
            </w: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4,718</w:t>
            </w:r>
          </w:p>
        </w:tc>
        <w:tc>
          <w:tcPr>
            <w:tcW w:w="18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215.91p</w:t>
            </w:r>
          </w:p>
        </w:tc>
        <w:tc>
          <w:tcPr>
            <w:tcW w:w="17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216.00p</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215.00p</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September 18, 2023</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13,710</w:t>
            </w:r>
          </w:p>
        </w:tc>
        <w:tc>
          <w:tcPr>
            <w:tcW w:w="1840" w:type="dxa"/>
            <w:vAlign w:val="bottom"/>
            <w:gridSpan w:val="2"/>
          </w:tcPr>
          <w:p>
            <w:pPr>
              <w:jc w:val="right"/>
              <w:ind w:right="600"/>
              <w:spacing w:after="0"/>
              <w:rPr>
                <w:sz w:val="20"/>
                <w:szCs w:val="20"/>
                <w:color w:val="auto"/>
              </w:rPr>
            </w:pPr>
            <w:r>
              <w:rPr>
                <w:rFonts w:ascii="Arial" w:cs="Arial" w:eastAsia="Arial" w:hAnsi="Arial"/>
                <w:sz w:val="18"/>
                <w:szCs w:val="18"/>
                <w:color w:val="auto"/>
              </w:rPr>
              <w:t>222.99p</w:t>
            </w:r>
          </w:p>
        </w:tc>
        <w:tc>
          <w:tcPr>
            <w:tcW w:w="1740" w:type="dxa"/>
            <w:vAlign w:val="bottom"/>
            <w:gridSpan w:val="2"/>
          </w:tcPr>
          <w:p>
            <w:pPr>
              <w:jc w:val="right"/>
              <w:ind w:right="600"/>
              <w:spacing w:after="0"/>
              <w:rPr>
                <w:sz w:val="20"/>
                <w:szCs w:val="20"/>
                <w:color w:val="auto"/>
              </w:rPr>
            </w:pPr>
            <w:r>
              <w:rPr>
                <w:rFonts w:ascii="Arial" w:cs="Arial" w:eastAsia="Arial" w:hAnsi="Arial"/>
                <w:sz w:val="18"/>
                <w:szCs w:val="18"/>
                <w:color w:val="auto"/>
              </w:rPr>
              <w:t>223.00p</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222.50p</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19, 2023</w:t>
            </w: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47,512</w:t>
            </w:r>
          </w:p>
        </w:tc>
        <w:tc>
          <w:tcPr>
            <w:tcW w:w="18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227.38p</w:t>
            </w:r>
          </w:p>
        </w:tc>
        <w:tc>
          <w:tcPr>
            <w:tcW w:w="17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228.50p</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225.00p</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September 20, 2023</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49,098</w:t>
            </w:r>
          </w:p>
        </w:tc>
        <w:tc>
          <w:tcPr>
            <w:tcW w:w="1840" w:type="dxa"/>
            <w:vAlign w:val="bottom"/>
            <w:gridSpan w:val="2"/>
          </w:tcPr>
          <w:p>
            <w:pPr>
              <w:jc w:val="right"/>
              <w:ind w:right="600"/>
              <w:spacing w:after="0"/>
              <w:rPr>
                <w:sz w:val="20"/>
                <w:szCs w:val="20"/>
                <w:color w:val="auto"/>
              </w:rPr>
            </w:pPr>
            <w:r>
              <w:rPr>
                <w:rFonts w:ascii="Arial" w:cs="Arial" w:eastAsia="Arial" w:hAnsi="Arial"/>
                <w:sz w:val="18"/>
                <w:szCs w:val="18"/>
                <w:color w:val="auto"/>
              </w:rPr>
              <w:t>227.01p</w:t>
            </w:r>
          </w:p>
        </w:tc>
        <w:tc>
          <w:tcPr>
            <w:tcW w:w="1740" w:type="dxa"/>
            <w:vAlign w:val="bottom"/>
            <w:gridSpan w:val="2"/>
          </w:tcPr>
          <w:p>
            <w:pPr>
              <w:jc w:val="right"/>
              <w:ind w:right="600"/>
              <w:spacing w:after="0"/>
              <w:rPr>
                <w:sz w:val="20"/>
                <w:szCs w:val="20"/>
                <w:color w:val="auto"/>
              </w:rPr>
            </w:pPr>
            <w:r>
              <w:rPr>
                <w:rFonts w:ascii="Arial" w:cs="Arial" w:eastAsia="Arial" w:hAnsi="Arial"/>
                <w:sz w:val="18"/>
                <w:szCs w:val="18"/>
                <w:color w:val="auto"/>
              </w:rPr>
              <w:t>231.00p</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225.00p</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21, 2023</w:t>
            </w: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50,805</w:t>
            </w:r>
          </w:p>
        </w:tc>
        <w:tc>
          <w:tcPr>
            <w:tcW w:w="18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223.69p</w:t>
            </w:r>
          </w:p>
        </w:tc>
        <w:tc>
          <w:tcPr>
            <w:tcW w:w="17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226.50p</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222.00p</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September 22, 2023</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50,220</w:t>
            </w:r>
          </w:p>
        </w:tc>
        <w:tc>
          <w:tcPr>
            <w:tcW w:w="1840" w:type="dxa"/>
            <w:vAlign w:val="bottom"/>
            <w:gridSpan w:val="2"/>
          </w:tcPr>
          <w:p>
            <w:pPr>
              <w:jc w:val="right"/>
              <w:ind w:right="600"/>
              <w:spacing w:after="0"/>
              <w:rPr>
                <w:sz w:val="20"/>
                <w:szCs w:val="20"/>
                <w:color w:val="auto"/>
              </w:rPr>
            </w:pPr>
            <w:r>
              <w:rPr>
                <w:rFonts w:ascii="Arial" w:cs="Arial" w:eastAsia="Arial" w:hAnsi="Arial"/>
                <w:sz w:val="18"/>
                <w:szCs w:val="18"/>
                <w:color w:val="auto"/>
              </w:rPr>
              <w:t>218.28p</w:t>
            </w:r>
          </w:p>
        </w:tc>
        <w:tc>
          <w:tcPr>
            <w:tcW w:w="1740" w:type="dxa"/>
            <w:vAlign w:val="bottom"/>
            <w:gridSpan w:val="2"/>
          </w:tcPr>
          <w:p>
            <w:pPr>
              <w:jc w:val="right"/>
              <w:ind w:right="600"/>
              <w:spacing w:after="0"/>
              <w:rPr>
                <w:sz w:val="20"/>
                <w:szCs w:val="20"/>
                <w:color w:val="auto"/>
              </w:rPr>
            </w:pPr>
            <w:r>
              <w:rPr>
                <w:rFonts w:ascii="Arial" w:cs="Arial" w:eastAsia="Arial" w:hAnsi="Arial"/>
                <w:sz w:val="18"/>
                <w:szCs w:val="18"/>
                <w:color w:val="auto"/>
              </w:rPr>
              <w:t>221.50p</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213.50p</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25, 2023</w:t>
            </w: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52,782</w:t>
            </w:r>
          </w:p>
        </w:tc>
        <w:tc>
          <w:tcPr>
            <w:tcW w:w="18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204.27p</w:t>
            </w:r>
          </w:p>
        </w:tc>
        <w:tc>
          <w:tcPr>
            <w:tcW w:w="17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213.50p</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201.50p</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September 26, 2023</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51,042</w:t>
            </w:r>
          </w:p>
        </w:tc>
        <w:tc>
          <w:tcPr>
            <w:tcW w:w="1840" w:type="dxa"/>
            <w:vAlign w:val="bottom"/>
            <w:gridSpan w:val="2"/>
          </w:tcPr>
          <w:p>
            <w:pPr>
              <w:jc w:val="right"/>
              <w:ind w:right="600"/>
              <w:spacing w:after="0"/>
              <w:rPr>
                <w:sz w:val="20"/>
                <w:szCs w:val="20"/>
                <w:color w:val="auto"/>
              </w:rPr>
            </w:pPr>
            <w:r>
              <w:rPr>
                <w:rFonts w:ascii="Arial" w:cs="Arial" w:eastAsia="Arial" w:hAnsi="Arial"/>
                <w:sz w:val="18"/>
                <w:szCs w:val="18"/>
                <w:color w:val="auto"/>
              </w:rPr>
              <w:t>201.47p</w:t>
            </w:r>
          </w:p>
        </w:tc>
        <w:tc>
          <w:tcPr>
            <w:tcW w:w="1740" w:type="dxa"/>
            <w:vAlign w:val="bottom"/>
            <w:gridSpan w:val="2"/>
          </w:tcPr>
          <w:p>
            <w:pPr>
              <w:jc w:val="right"/>
              <w:ind w:right="600"/>
              <w:spacing w:after="0"/>
              <w:rPr>
                <w:sz w:val="20"/>
                <w:szCs w:val="20"/>
                <w:color w:val="auto"/>
              </w:rPr>
            </w:pPr>
            <w:r>
              <w:rPr>
                <w:rFonts w:ascii="Arial" w:cs="Arial" w:eastAsia="Arial" w:hAnsi="Arial"/>
                <w:sz w:val="18"/>
                <w:szCs w:val="18"/>
                <w:color w:val="auto"/>
              </w:rPr>
              <w:t>205.50p</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200.00p</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27, 2023</w:t>
            </w: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52,952</w:t>
            </w:r>
          </w:p>
        </w:tc>
        <w:tc>
          <w:tcPr>
            <w:tcW w:w="18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200.99p</w:t>
            </w:r>
          </w:p>
        </w:tc>
        <w:tc>
          <w:tcPr>
            <w:tcW w:w="17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203.50p</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195.40p</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September 28, 2023</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52,040</w:t>
            </w:r>
          </w:p>
        </w:tc>
        <w:tc>
          <w:tcPr>
            <w:tcW w:w="1840" w:type="dxa"/>
            <w:vAlign w:val="bottom"/>
            <w:gridSpan w:val="2"/>
          </w:tcPr>
          <w:p>
            <w:pPr>
              <w:jc w:val="right"/>
              <w:ind w:right="600"/>
              <w:spacing w:after="0"/>
              <w:rPr>
                <w:sz w:val="20"/>
                <w:szCs w:val="20"/>
                <w:color w:val="auto"/>
              </w:rPr>
            </w:pPr>
            <w:r>
              <w:rPr>
                <w:rFonts w:ascii="Arial" w:cs="Arial" w:eastAsia="Arial" w:hAnsi="Arial"/>
                <w:sz w:val="18"/>
                <w:szCs w:val="18"/>
                <w:color w:val="auto"/>
              </w:rPr>
              <w:t>186.17p</w:t>
            </w:r>
          </w:p>
        </w:tc>
        <w:tc>
          <w:tcPr>
            <w:tcW w:w="1740" w:type="dxa"/>
            <w:vAlign w:val="bottom"/>
            <w:gridSpan w:val="2"/>
          </w:tcPr>
          <w:p>
            <w:pPr>
              <w:jc w:val="right"/>
              <w:ind w:right="600"/>
              <w:spacing w:after="0"/>
              <w:rPr>
                <w:sz w:val="20"/>
                <w:szCs w:val="20"/>
                <w:color w:val="auto"/>
              </w:rPr>
            </w:pPr>
            <w:r>
              <w:rPr>
                <w:rFonts w:ascii="Arial" w:cs="Arial" w:eastAsia="Arial" w:hAnsi="Arial"/>
                <w:sz w:val="18"/>
                <w:szCs w:val="18"/>
                <w:color w:val="auto"/>
              </w:rPr>
              <w:t>192.80p</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180.40p</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29, 2023</w:t>
            </w: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53,042</w:t>
            </w:r>
          </w:p>
        </w:tc>
        <w:tc>
          <w:tcPr>
            <w:tcW w:w="18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185.00p</w:t>
            </w:r>
          </w:p>
        </w:tc>
        <w:tc>
          <w:tcPr>
            <w:tcW w:w="17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190.00p</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181.00p</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the month ended September 30, 2023, the Company repurchased an aggregate of 810,833 Ordinary Shares. As of September 30, 2023, the Company’s issued share capital was 289,468,159 shares, 14,929,154 of which were held in treasury, resulting in total voting rights in the Company of 274,539,005 shares. To view the details of the individual transactions, please paste the following URL(s) into the address bar of your browser with respect to each individual date of repurchase under the Program: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September 1, 2023: </w:t>
      </w:r>
      <w:r>
        <w:rPr>
          <w:rFonts w:ascii="Arial" w:cs="Arial" w:eastAsia="Arial" w:hAnsi="Arial"/>
          <w:sz w:val="18"/>
          <w:szCs w:val="18"/>
          <w:u w:val="single" w:color="auto"/>
          <w:color w:val="auto"/>
        </w:rPr>
        <w:t>https://data.fca.org.uk/artefacts/NSM/RNS/4887228.html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September 4, 2023: </w:t>
      </w:r>
      <w:r>
        <w:rPr>
          <w:rFonts w:ascii="Arial" w:cs="Arial" w:eastAsia="Arial" w:hAnsi="Arial"/>
          <w:sz w:val="18"/>
          <w:szCs w:val="18"/>
          <w:u w:val="single" w:color="auto"/>
          <w:color w:val="auto"/>
        </w:rPr>
        <w:t>https://data.fca.org.uk/artefacts/NSM/RNS/4888692.html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September 5, 2023: </w:t>
      </w:r>
      <w:r>
        <w:rPr>
          <w:rFonts w:ascii="Arial" w:cs="Arial" w:eastAsia="Arial" w:hAnsi="Arial"/>
          <w:sz w:val="18"/>
          <w:szCs w:val="18"/>
          <w:u w:val="single" w:color="auto"/>
          <w:color w:val="auto"/>
        </w:rPr>
        <w:t>https://data.fca.org.uk/artefacts/NSM/RNS/4890135.html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September 6, 2023: </w:t>
      </w:r>
      <w:r>
        <w:rPr>
          <w:rFonts w:ascii="Arial" w:cs="Arial" w:eastAsia="Arial" w:hAnsi="Arial"/>
          <w:sz w:val="18"/>
          <w:szCs w:val="18"/>
          <w:u w:val="single" w:color="auto"/>
          <w:color w:val="auto"/>
        </w:rPr>
        <w:t>https://data.fca.org.uk/artefacts/NSM/RNS/4891649.html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September 7, 2023: </w:t>
      </w:r>
      <w:r>
        <w:rPr>
          <w:rFonts w:ascii="Arial" w:cs="Arial" w:eastAsia="Arial" w:hAnsi="Arial"/>
          <w:sz w:val="18"/>
          <w:szCs w:val="18"/>
          <w:u w:val="single" w:color="auto"/>
          <w:color w:val="auto"/>
        </w:rPr>
        <w:t>https://data.fca.org.uk/artefacts/NSM/RNS/4893157.html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September 8, 2023: </w:t>
      </w:r>
      <w:r>
        <w:rPr>
          <w:rFonts w:ascii="Arial" w:cs="Arial" w:eastAsia="Arial" w:hAnsi="Arial"/>
          <w:sz w:val="18"/>
          <w:szCs w:val="18"/>
          <w:u w:val="single" w:color="auto"/>
          <w:color w:val="auto"/>
        </w:rPr>
        <w:t>https://data.fca.org.uk/artefacts/NSM/RNS/4894579.html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September 11, 2023: </w:t>
      </w:r>
      <w:r>
        <w:rPr>
          <w:rFonts w:ascii="Arial" w:cs="Arial" w:eastAsia="Arial" w:hAnsi="Arial"/>
          <w:sz w:val="18"/>
          <w:szCs w:val="18"/>
          <w:u w:val="single" w:color="auto"/>
          <w:color w:val="auto"/>
        </w:rPr>
        <w:t>https://data.fca.org.uk/artefacts/NSM/RNS/4896110.html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September 12, 2023: </w:t>
      </w:r>
      <w:r>
        <w:rPr>
          <w:rFonts w:ascii="Arial" w:cs="Arial" w:eastAsia="Arial" w:hAnsi="Arial"/>
          <w:sz w:val="18"/>
          <w:szCs w:val="18"/>
          <w:u w:val="single" w:color="auto"/>
          <w:color w:val="auto"/>
        </w:rPr>
        <w:t>https://data.fca.org.uk/artefacts/NSM/RNS/4897624.html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September 13, 2023: </w:t>
      </w:r>
      <w:r>
        <w:rPr>
          <w:rFonts w:ascii="Arial" w:cs="Arial" w:eastAsia="Arial" w:hAnsi="Arial"/>
          <w:sz w:val="18"/>
          <w:szCs w:val="18"/>
          <w:u w:val="single" w:color="auto"/>
          <w:color w:val="auto"/>
        </w:rPr>
        <w:t>https://data.fca.org.uk/artefacts/NSM/RNS/4899101.html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September 14, 2023: </w:t>
      </w:r>
      <w:r>
        <w:rPr>
          <w:rFonts w:ascii="Arial" w:cs="Arial" w:eastAsia="Arial" w:hAnsi="Arial"/>
          <w:sz w:val="18"/>
          <w:szCs w:val="18"/>
          <w:u w:val="single" w:color="auto"/>
          <w:color w:val="auto"/>
        </w:rPr>
        <w:t>https://data.fca.org.uk/artefacts/NSM/RNS/4900554.html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September 15, 2023: </w:t>
      </w:r>
      <w:r>
        <w:rPr>
          <w:rFonts w:ascii="Arial" w:cs="Arial" w:eastAsia="Arial" w:hAnsi="Arial"/>
          <w:sz w:val="18"/>
          <w:szCs w:val="18"/>
          <w:u w:val="single" w:color="auto"/>
          <w:color w:val="auto"/>
        </w:rPr>
        <w:t>https://data.fca.org.uk/artefacts/NSM/RNS/4902098.html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September 18, 2023: </w:t>
      </w:r>
      <w:r>
        <w:rPr>
          <w:rFonts w:ascii="Arial" w:cs="Arial" w:eastAsia="Arial" w:hAnsi="Arial"/>
          <w:sz w:val="18"/>
          <w:szCs w:val="18"/>
          <w:u w:val="single" w:color="auto"/>
          <w:color w:val="auto"/>
        </w:rPr>
        <w:t>https://data.fca.org.uk/artefacts/NSM/RNS/4903618.html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September 19, 2023: </w:t>
      </w:r>
      <w:r>
        <w:rPr>
          <w:rFonts w:ascii="Arial" w:cs="Arial" w:eastAsia="Arial" w:hAnsi="Arial"/>
          <w:sz w:val="18"/>
          <w:szCs w:val="18"/>
          <w:u w:val="single" w:color="auto"/>
          <w:color w:val="auto"/>
        </w:rPr>
        <w:t>https://data.fca.org.uk/artefacts/NSM/RNS/4905167.html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September 20, 2023: </w:t>
      </w:r>
      <w:r>
        <w:rPr>
          <w:rFonts w:ascii="Arial" w:cs="Arial" w:eastAsia="Arial" w:hAnsi="Arial"/>
          <w:sz w:val="18"/>
          <w:szCs w:val="18"/>
          <w:u w:val="single" w:color="auto"/>
          <w:color w:val="auto"/>
        </w:rPr>
        <w:t>https://data.fca.org.uk/artefacts/NSM/RNS/4906648.html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September 21, 2023: </w:t>
      </w:r>
      <w:r>
        <w:rPr>
          <w:rFonts w:ascii="Arial" w:cs="Arial" w:eastAsia="Arial" w:hAnsi="Arial"/>
          <w:sz w:val="18"/>
          <w:szCs w:val="18"/>
          <w:u w:val="single" w:color="auto"/>
          <w:color w:val="auto"/>
        </w:rPr>
        <w:t>https://data.fca.org.uk/artefacts/NSM/RNS/4908196.html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September 22, 2023: </w:t>
      </w:r>
      <w:r>
        <w:rPr>
          <w:rFonts w:ascii="Arial" w:cs="Arial" w:eastAsia="Arial" w:hAnsi="Arial"/>
          <w:sz w:val="18"/>
          <w:szCs w:val="18"/>
          <w:u w:val="single" w:color="auto"/>
          <w:color w:val="auto"/>
        </w:rPr>
        <w:t>https://data.fca.org.uk/artefacts/NSM/RNS/4909642.html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September 25, 2023: </w:t>
      </w:r>
      <w:r>
        <w:rPr>
          <w:rFonts w:ascii="Arial" w:cs="Arial" w:eastAsia="Arial" w:hAnsi="Arial"/>
          <w:sz w:val="18"/>
          <w:szCs w:val="18"/>
          <w:u w:val="single" w:color="auto"/>
          <w:color w:val="auto"/>
        </w:rPr>
        <w:t>https://data.fca.org.uk/artefacts/NSM/RNS/4911197.html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September 26, 2023: </w:t>
      </w:r>
      <w:r>
        <w:rPr>
          <w:rFonts w:ascii="Arial" w:cs="Arial" w:eastAsia="Arial" w:hAnsi="Arial"/>
          <w:sz w:val="18"/>
          <w:szCs w:val="18"/>
          <w:u w:val="single" w:color="auto"/>
          <w:color w:val="auto"/>
        </w:rPr>
        <w:t>https://data.fca.org.uk/artefacts/NSM/RNS/4912791.html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September 27, 2023: </w:t>
      </w:r>
      <w:r>
        <w:rPr>
          <w:rFonts w:ascii="Arial" w:cs="Arial" w:eastAsia="Arial" w:hAnsi="Arial"/>
          <w:sz w:val="18"/>
          <w:szCs w:val="18"/>
          <w:u w:val="single" w:color="auto"/>
          <w:color w:val="auto"/>
        </w:rPr>
        <w:t>https://data.fca.org.uk/artefacts/NSM/RNS/4914423.html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September 28, 2023: </w:t>
      </w:r>
      <w:r>
        <w:rPr>
          <w:rFonts w:ascii="Arial" w:cs="Arial" w:eastAsia="Arial" w:hAnsi="Arial"/>
          <w:sz w:val="18"/>
          <w:szCs w:val="18"/>
          <w:u w:val="single" w:color="auto"/>
          <w:color w:val="auto"/>
        </w:rPr>
        <w:t>https://data.fca.org.uk/artefacts/NSM/RNS/4916154.html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September 29, 2023: </w:t>
      </w:r>
      <w:r>
        <w:rPr>
          <w:rFonts w:ascii="Arial" w:cs="Arial" w:eastAsia="Arial" w:hAnsi="Arial"/>
          <w:sz w:val="18"/>
          <w:szCs w:val="18"/>
          <w:u w:val="single" w:color="auto"/>
          <w:color w:val="auto"/>
        </w:rPr>
        <w:t>https://data.fca.org.uk/artefacts/NSM/RNS/4917869.html</w:t>
      </w:r>
    </w:p>
    <w:p>
      <w:pPr>
        <w:sectPr>
          <w:pgSz w:w="11900" w:h="16838" w:orient="portrait"/>
          <w:cols w:equalWidth="0" w:num="1">
            <w:col w:w="10960"/>
          </w:cols>
          <w:pgMar w:left="440" w:top="270" w:right="499" w:bottom="1036"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7740" w:type="dxa"/>
            <w:vAlign w:val="bottom"/>
            <w:gridSpan w:val="3"/>
          </w:tcPr>
          <w:p>
            <w:pPr>
              <w:ind w:left="1680"/>
              <w:spacing w:after="0"/>
              <w:rPr>
                <w:sz w:val="20"/>
                <w:szCs w:val="20"/>
                <w:color w:val="auto"/>
              </w:rPr>
            </w:pPr>
            <w:r>
              <w:rPr>
                <w:rFonts w:ascii="Arial" w:cs="Arial" w:eastAsia="Arial" w:hAnsi="Arial"/>
                <w:sz w:val="18"/>
                <w:szCs w:val="18"/>
                <w:color w:val="auto"/>
              </w:rPr>
              <w:t>PURETECH HEALTH PLC</w:t>
            </w: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Date: October 3, 2023</w:t>
            </w:r>
          </w:p>
        </w:tc>
        <w:tc>
          <w:tcPr>
            <w:tcW w:w="7740" w:type="dxa"/>
            <w:vAlign w:val="bottom"/>
            <w:gridSpan w:val="3"/>
          </w:tcPr>
          <w:p>
            <w:pPr>
              <w:ind w:left="1680"/>
              <w:spacing w:after="0"/>
              <w:rPr>
                <w:sz w:val="20"/>
                <w:szCs w:val="20"/>
                <w:color w:val="auto"/>
              </w:rPr>
            </w:pPr>
            <w:r>
              <w:rPr>
                <w:rFonts w:ascii="Arial" w:cs="Arial" w:eastAsia="Arial" w:hAnsi="Arial"/>
                <w:sz w:val="18"/>
                <w:szCs w:val="18"/>
                <w:color w:val="auto"/>
              </w:rPr>
              <w:t>By:    /s/ Daphne Zohar</w:t>
            </w:r>
          </w:p>
        </w:tc>
      </w:tr>
      <w:tr>
        <w:trPr>
          <w:trHeight w:val="209"/>
        </w:trPr>
        <w:tc>
          <w:tcPr>
            <w:tcW w:w="3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9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Daphne Zohar</w:t>
            </w:r>
          </w:p>
        </w:tc>
      </w:tr>
      <w:tr>
        <w:trPr>
          <w:trHeight w:val="230"/>
        </w:trPr>
        <w:tc>
          <w:tcPr>
            <w:tcW w:w="3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Chief Executive Officer</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2023-10-03T15:34:33Z</dcterms:created>
  <dcterms:modified xsi:type="dcterms:W3CDTF">2023-10-03T15:34:33Z</dcterms:modified>
</cp:coreProperties>
</file>